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279f974f76024018"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7472</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CENTAR ZA ODGOJ I OBRAZOVANJE DUBRAVA</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11</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VI 2026.</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2.839.896,42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2.934.093,92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103,3</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2.872.483,38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2.946.051,77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102,6</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POSLOVANJA (šifre Z005-6)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32.586,96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11.957,85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36,7</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28.889,06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7.080,92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24,5</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28.889,06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7.080,92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24,5</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VIŠAK/MANJAK PRIMITAKA OD FINANCIJSKE IMOVINE I ZADUŽIVANJA (šifre 8-5,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X003, 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I PRIMITAKA (šifre Y345-X678)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61.476,02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19.038,77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31,0</w:t>
            </w:r>
          </w:p>
        </w:tc>
      </w:tr>
    </w:tbl>
    <w:p>
      <w:pPr>
        <w:spacing w:before="0" w:after="0"/>
      </w:pPr>
    </w:p>
    <w:p>
      <w:r>
        <w:rPr>
          <w:b/>
        </w:rPr>
        <w:t xml:space="preserve">Manjak prihoda poslovanja</w:t>
      </w:r>
      <w:r>
        <w:t xml:space="preserve">, a koji je iskazan u Financijskom izvještaju za razdoblje 01.01.-30.06.2026. zapravo predstavlja metodološki manjak koji je nastao zbog načina knjiženja rashoda i prihoda u sustavu Riznice. Naime rashod se knjiži sukladno dokumentu "Rekapitulacija odobrenih zahtjeva" koji ustanovi dostavlja Ministarstvo i koji dolazi s određenim datumom. Prihodi poslovanja knjiže se po primanju dokumenta "Obavijest o obavljenim plaćanjima" koji isto tako ustanova prima od Ministarstva ali s kasnijim datumom pa se na prijelazu iz jednog obračunskog razdoblja u drugo može dogoditi raskorak između knjiženih Rashoda i Prihoda što je ovdje bio slučaj.</w:t>
      </w:r>
    </w:p>
    <w:p>
      <w:r>
        <w:rPr>
          <w:b/>
        </w:rPr>
        <w:t xml:space="preserve">Manjak prihoda od nefinancijske imovine</w:t>
      </w:r>
      <w:r>
        <w:t xml:space="preserve"> isto tako predstavlja metodološki manjak koji je ostvaren iz razloga što Centar Dubrava ne ostvaruje prihode od nefinancijske imovine već rashode za nefinancijsku imovinu pokriva iz prihoda poslovanja stoga su knjiženi samo rashodi za nefinancijsku imovinu. Manjak prihoda od nefinancijske imovine koji se pokaže na kraju obračunske godine pokrit će se iz prihoda poslovanja nakon što Računovodstvo primi od Upravnog vijeća Odluku o raspodjeli rezultata.</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Prijenosi između proračunskih korisnika istog proračuna (šifre 6391 do 6394)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58.451,86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41.510,05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71,0</w:t>
            </w:r>
          </w:p>
        </w:tc>
      </w:tr>
    </w:tbl>
    <w:p>
      <w:pPr>
        <w:spacing w:before="0" w:after="0"/>
      </w:pPr>
    </w:p>
    <w:p>
      <w:r>
        <w:t xml:space="preserve">Na početku 2025. godine od strane Ministarstva znanosti i obrazovanja uplaćena nam je naknada za prijevoz učenika koja se odnosi na  10/2024 i 11/2024. dok nam početkom 2026. godine nisu uplaćivani zaostaci iz prethodnih razdoblja.</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 posebnim propisima (šifre 6521 do 6528)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7.755,26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4.341,75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56,0</w:t>
            </w:r>
          </w:p>
        </w:tc>
      </w:tr>
    </w:tbl>
    <w:p>
      <w:pPr>
        <w:spacing w:before="0" w:after="0"/>
      </w:pPr>
    </w:p>
    <w:p>
      <w:r>
        <w:t xml:space="preserve">Na ovom računu ostvaren je značajno manji prihod nego u istom obračunskom razdoblju 2025.g. zbog toga što Centar Dubrava ove školske godine (2025/2026) nije slao roditeljima račune za participaciju zbog nejasnog tumačenja propisa koji reguliraju to područje, a sukladno tome roditelji nisu uplaćivali participacije.</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proizvoda i robe te pruženih usluga (šifre 6614+6615)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4.882,93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3.771,62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77,2</w:t>
            </w:r>
          </w:p>
        </w:tc>
      </w:tr>
    </w:tbl>
    <w:p>
      <w:pPr>
        <w:spacing w:before="0" w:after="0"/>
      </w:pPr>
    </w:p>
    <w:p>
      <w:r>
        <w:t xml:space="preserve">Na ovom računu u ovom obračunskom razdoblju iskazan je manji prihod iz razloga što je u ovom obračunskom razdoblju ostvaren manji prihod  od učeničke zadruge, manji iznos naknade za potrošnju vode koju Centar Dubrava prima na matičnoj lokaciji u Dubravi te manji prihod od naknade za ručak koju uplaćuju djelatnici Centra  nego što je to bilo u istom obračunskom razdoblju protekle godine.</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Donacije od pravnih i fizičkih osoba izvan općeg proračuna te povrat donacija i kapitalnih pomoći po protestiranim jamstvima (šifre 6631 do 6634)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28.856,90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11.000,00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38,1</w:t>
            </w:r>
          </w:p>
        </w:tc>
      </w:tr>
    </w:tbl>
    <w:p>
      <w:pPr>
        <w:spacing w:before="0" w:after="0"/>
      </w:pPr>
    </w:p>
    <w:p>
      <w:r>
        <w:t xml:space="preserve">Prihod na ovom računu iskazan je u manjem iznosu nego u istom obračunskom razdoblju 2025.g. iz razloga što je ustanova ove godine primila manje donacija nego u 2025.-oj godini. Pored "uobičajene" donacije od Rotary kluba u protekloj godini primili smo kao donaciju i terapeutskog psa (13.000,00).</w:t>
      </w:r>
    </w:p>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Plaće za prekovremeni rad</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41.197,96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98.162,81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238,3</w:t>
            </w:r>
          </w:p>
        </w:tc>
      </w:tr>
    </w:tbl>
    <w:p>
      <w:pPr>
        <w:spacing w:before="0" w:after="0"/>
      </w:pPr>
    </w:p>
    <w:p>
      <w:r>
        <w:t xml:space="preserve">Na ovom računu ostvaren je značajno veći rashod nego u istom obračunskom razdoblju 2025.g. zbog odlazaka više djelatnika iz Centra Dubrava te učestalih bolovanja.</w:t>
      </w:r>
    </w:p>
    <w:p/>
    <w:p>
      <w:pPr>
        <w:jc w:val="center"/>
        <w:pStyle w:val="Normal"/>
        <w:spacing w:line="240" w:lineRule="auto"/>
        <w:keepNext/>
      </w:pPr>
      <w:r>
        <w:rPr>
          <w:sz w:val="28"/>
          <w:rFonts w:ascii="Times New Roman" w:hAnsi="Times New Roman"/>
        </w:rPr>
        <w:t xml:space="preserve">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Energija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53.858,92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66.899,83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124,2</w:t>
            </w:r>
          </w:p>
        </w:tc>
      </w:tr>
    </w:tbl>
    <w:p>
      <w:pPr>
        <w:spacing w:before="0" w:after="0"/>
      </w:pPr>
    </w:p>
    <w:p>
      <w:r>
        <w:t xml:space="preserve">Na ovom računu ostvaren je značajno veći rashod nego u istom obračunskom razdoblju 2025.g. zbog toga što je država smanjila postotak subvencije za energiju.</w:t>
      </w:r>
    </w:p>
    <w:p/>
    <w:p>
      <w:pPr>
        <w:jc w:val="center"/>
        <w:pStyle w:val="Normal"/>
        <w:spacing w:line="240" w:lineRule="auto"/>
        <w:keepNext/>
      </w:pPr>
      <w:r>
        <w:rPr>
          <w:sz w:val="28"/>
          <w:rFonts w:ascii="Times New Roman" w:hAnsi="Times New Roman"/>
        </w:rPr>
        <w:t xml:space="preserve">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Materijal i dijelovi za tekuće i investicijsko održavanje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2.784,25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6.730,30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241,7</w:t>
            </w:r>
          </w:p>
        </w:tc>
      </w:tr>
    </w:tbl>
    <w:p>
      <w:pPr>
        <w:spacing w:before="0" w:after="0"/>
      </w:pPr>
    </w:p>
    <w:p>
      <w:r>
        <w:t xml:space="preserve">Na ovom računu ostvaren je značajno veći rashod nego u istom obračunskom razdoblju 2025.g. zbog uređivanja instalacija el. energije i prozora koji su prokišnjavali.</w:t>
      </w:r>
    </w:p>
    <w:p/>
    <w:p>
      <w:pPr>
        <w:jc w:val="center"/>
        <w:pStyle w:val="Normal"/>
        <w:spacing w:line="240" w:lineRule="auto"/>
        <w:keepNext/>
      </w:pPr>
      <w:r>
        <w:rPr>
          <w:sz w:val="28"/>
          <w:rFonts w:ascii="Times New Roman" w:hAnsi="Times New Roman"/>
        </w:rPr>
        <w:t xml:space="preserve">Bilješka 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Službena, radna i zaštitna odjeća i obuća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454,03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3.110,74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685,1</w:t>
            </w:r>
          </w:p>
        </w:tc>
      </w:tr>
    </w:tbl>
    <w:p>
      <w:pPr>
        <w:spacing w:before="0" w:after="0"/>
      </w:pPr>
    </w:p>
    <w:p>
      <w:r>
        <w:t xml:space="preserve">Na ovom računu ostvaren je značajno veći rashod nego u istom obračunskom razdoblju 2025.g. zbog toga što je Centar Dubrava Službenu radnu i zaštitnu odjeću i obuću uglavnom nabavljao u ovom obračunskom razdoblju dok protekle godine nabava je ostvarena u  drugom dijelu godine.</w:t>
      </w:r>
    </w:p>
    <w:p/>
    <w:p>
      <w:pPr>
        <w:jc w:val="center"/>
        <w:pStyle w:val="Normal"/>
        <w:spacing w:line="240" w:lineRule="auto"/>
        <w:keepNext/>
      </w:pPr>
      <w:r>
        <w:rPr>
          <w:sz w:val="28"/>
          <w:rFonts w:ascii="Times New Roman" w:hAnsi="Times New Roman"/>
        </w:rPr>
        <w:t xml:space="preserve">Bilješka 10.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promidžbe i informiranja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2.462,96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3.170,98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128,7</w:t>
            </w:r>
          </w:p>
        </w:tc>
      </w:tr>
    </w:tbl>
    <w:p>
      <w:pPr>
        <w:spacing w:before="0" w:after="0"/>
      </w:pPr>
    </w:p>
    <w:p>
      <w:r>
        <w:t xml:space="preserve">Na ovom računu ostvaren je značajno veći rashod nego u istom obračunskom razdoblju 2025.g. zbog toga što Centar Dubrava u povećanom opsegu objavljuje u NN natječaje za zapošljavanje.</w:t>
      </w:r>
    </w:p>
    <w:p/>
    <w:p>
      <w:pPr>
        <w:jc w:val="center"/>
        <w:pStyle w:val="Normal"/>
        <w:spacing w:line="240" w:lineRule="auto"/>
        <w:keepNext/>
      </w:pPr>
      <w:r>
        <w:rPr>
          <w:sz w:val="28"/>
          <w:rFonts w:ascii="Times New Roman" w:hAnsi="Times New Roman"/>
        </w:rPr>
        <w:t xml:space="preserve">Bilješka 11.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Intelektualne i osobne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10.965,00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35.596,43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324,6</w:t>
            </w:r>
          </w:p>
        </w:tc>
      </w:tr>
    </w:tbl>
    <w:p>
      <w:pPr>
        <w:spacing w:before="0" w:after="0"/>
      </w:pPr>
    </w:p>
    <w:p>
      <w:r>
        <w:t xml:space="preserve">Na ovom računu ostvaren je značajno veći rashod nego u istom obračunskom razdoblju 2025.g. zbog većeg angažmana odvjetnika u 2026.-oj godini.</w:t>
      </w:r>
    </w:p>
    <w:p>
      <w:r>
        <w:t xml:space="preserve">Isto tako potpisan je Ugovor o djelu s dr. med. spec. dječje i adolescentne psihijatrije koja dolazi u Centar Dubrava sukladno potrebama korisnika.</w:t>
      </w:r>
    </w:p>
    <w:p/>
    <w:p>
      <w:pPr>
        <w:jc w:val="center"/>
        <w:pStyle w:val="Normal"/>
        <w:spacing w:line="240" w:lineRule="auto"/>
        <w:keepNext/>
      </w:pPr>
      <w:r>
        <w:rPr>
          <w:sz w:val="28"/>
          <w:rFonts w:ascii="Times New Roman" w:hAnsi="Times New Roman"/>
        </w:rPr>
        <w:t xml:space="preserve">Bilješka 12.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Ostale naknade građanima i kućanstvima iz proračuna (šifre 3721 do 3723)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72.239,84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104.280,69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144,4</w:t>
            </w:r>
          </w:p>
        </w:tc>
      </w:tr>
    </w:tbl>
    <w:p>
      <w:pPr>
        <w:spacing w:before="0" w:after="0"/>
      </w:pPr>
    </w:p>
    <w:p>
      <w:r>
        <w:t xml:space="preserve">Na ovom računu ostvaren je značajno veći rashod nego u istom obračunskom razdoblju 2025.g. zbog toga što je 2025.g. sa zakašnjenjem stigla uplata za naknadu za prijevoz učenika pa je stoga kasnila i isplata na temelju koje se knjiži rashod.</w:t>
      </w:r>
    </w:p>
    <w:p>
      <w:r>
        <w:t xml:space="preserve">Isto tako ostvareni  su rashodi vezani za EU program Erasmus kojih nije bilo u istom obračunskom razdoblju protekle godine.</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13.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Centar za odgoj i obrazovanje Dubrava nema dospjelih, a nepodmiranih obveza.</w:t>
      </w:r>
    </w:p>
    <w:p/>
    <w:p>
      <w:pPr>
        <w:jc w:val="center"/>
        <w:pStyle w:val="Normal"/>
        <w:spacing w:line="240" w:lineRule="auto"/>
        <w:keepNext/>
      </w:pPr>
      <w:r>
        <w:rPr>
          <w:sz w:val="28"/>
          <w:rFonts w:ascii="Times New Roman" w:hAnsi="Times New Roman"/>
        </w:rPr>
        <w:t xml:space="preserve">Bilješka 14.</w:t>
      </w:r>
    </w:p>
    <w:p>
      <w:pPr>
        <w:jc w:val="both"/>
        <w:pStyle w:val="Normal"/>
        <w:spacing w:line="240" w:lineRule="auto"/>
      </w:pPr>
      <w:r>
        <w:rPr>
          <w:b/>
          <w:sz w:val="24"/>
          <w:rFonts w:ascii="Times New Roman" w:hAnsi="Times New Roman"/>
        </w:rPr>
        <w:t xml:space="preserve">EU izvještaj</w:t>
      </w:r>
    </w:p>
    <w:p>
      <w:r>
        <w:t xml:space="preserve">U istom izvještajnom razdoblju prethodne godine nije bilo knjiženja na izvoru 510 (odnosno 51000).</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9a4d8888c99242ff" /></Relationships>
</file>