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01C53" w14:paraId="0AB163E4" w14:textId="77777777">
        <w:tblPrEx>
          <w:tblCellMar>
            <w:top w:w="0" w:type="dxa"/>
            <w:bottom w:w="0" w:type="dxa"/>
          </w:tblCellMar>
        </w:tblPrEx>
        <w:trPr>
          <w:tblCellSpacing w:w="60" w:type="dxa"/>
        </w:trPr>
        <w:tc>
          <w:tcPr>
            <w:tcW w:w="1200" w:type="pct"/>
            <w:shd w:val="clear" w:color="auto" w:fill="E7F0F9"/>
          </w:tcPr>
          <w:p w14:paraId="0AB163E2" w14:textId="77777777" w:rsidR="00501C53" w:rsidRDefault="00000000">
            <w:pPr>
              <w:spacing w:after="0" w:line="240" w:lineRule="auto"/>
            </w:pPr>
            <w:r>
              <w:rPr>
                <w:b/>
              </w:rPr>
              <w:t>RKP broj</w:t>
            </w:r>
          </w:p>
        </w:tc>
        <w:tc>
          <w:tcPr>
            <w:tcW w:w="0" w:type="auto"/>
            <w:shd w:val="clear" w:color="auto" w:fill="E7F0F9"/>
          </w:tcPr>
          <w:p w14:paraId="0AB163E3" w14:textId="77777777" w:rsidR="00501C53" w:rsidRDefault="00000000">
            <w:pPr>
              <w:spacing w:after="0" w:line="240" w:lineRule="auto"/>
            </w:pPr>
            <w:r>
              <w:t>7472</w:t>
            </w:r>
          </w:p>
        </w:tc>
      </w:tr>
      <w:tr w:rsidR="00501C53" w14:paraId="0AB163E7" w14:textId="77777777">
        <w:tblPrEx>
          <w:tblCellMar>
            <w:top w:w="0" w:type="dxa"/>
            <w:bottom w:w="0" w:type="dxa"/>
          </w:tblCellMar>
        </w:tblPrEx>
        <w:trPr>
          <w:tblCellSpacing w:w="60" w:type="dxa"/>
        </w:trPr>
        <w:tc>
          <w:tcPr>
            <w:tcW w:w="1200" w:type="pct"/>
            <w:shd w:val="clear" w:color="auto" w:fill="E7F0F9"/>
          </w:tcPr>
          <w:p w14:paraId="0AB163E5" w14:textId="77777777" w:rsidR="00501C53" w:rsidRDefault="00000000">
            <w:pPr>
              <w:spacing w:after="0" w:line="240" w:lineRule="auto"/>
            </w:pPr>
            <w:r>
              <w:rPr>
                <w:b/>
              </w:rPr>
              <w:t>Naziv obveznika</w:t>
            </w:r>
          </w:p>
        </w:tc>
        <w:tc>
          <w:tcPr>
            <w:tcW w:w="0" w:type="auto"/>
            <w:shd w:val="clear" w:color="auto" w:fill="E7F0F9"/>
          </w:tcPr>
          <w:p w14:paraId="0AB163E6" w14:textId="77777777" w:rsidR="00501C53" w:rsidRDefault="00000000">
            <w:pPr>
              <w:spacing w:after="0" w:line="240" w:lineRule="auto"/>
            </w:pPr>
            <w:r>
              <w:t>CENTAR ZA ODGOJ I OBRAZOVANJE DUBRAVA</w:t>
            </w:r>
          </w:p>
        </w:tc>
      </w:tr>
      <w:tr w:rsidR="00501C53" w14:paraId="0AB163EA" w14:textId="77777777">
        <w:tblPrEx>
          <w:tblCellMar>
            <w:top w:w="0" w:type="dxa"/>
            <w:bottom w:w="0" w:type="dxa"/>
          </w:tblCellMar>
        </w:tblPrEx>
        <w:trPr>
          <w:tblCellSpacing w:w="60" w:type="dxa"/>
        </w:trPr>
        <w:tc>
          <w:tcPr>
            <w:tcW w:w="1200" w:type="pct"/>
            <w:shd w:val="clear" w:color="auto" w:fill="E7F0F9"/>
          </w:tcPr>
          <w:p w14:paraId="0AB163E8" w14:textId="77777777" w:rsidR="00501C53" w:rsidRDefault="00000000">
            <w:pPr>
              <w:spacing w:after="0" w:line="240" w:lineRule="auto"/>
            </w:pPr>
            <w:r>
              <w:rPr>
                <w:b/>
              </w:rPr>
              <w:t>Razina</w:t>
            </w:r>
          </w:p>
        </w:tc>
        <w:tc>
          <w:tcPr>
            <w:tcW w:w="0" w:type="auto"/>
            <w:shd w:val="clear" w:color="auto" w:fill="E7F0F9"/>
          </w:tcPr>
          <w:p w14:paraId="0AB163E9" w14:textId="77777777" w:rsidR="00501C53" w:rsidRDefault="00000000">
            <w:pPr>
              <w:spacing w:after="0" w:line="240" w:lineRule="auto"/>
            </w:pPr>
            <w:r>
              <w:t>11</w:t>
            </w:r>
          </w:p>
        </w:tc>
      </w:tr>
    </w:tbl>
    <w:p w14:paraId="0AB163EB" w14:textId="77777777" w:rsidR="00501C53" w:rsidRDefault="00000000">
      <w:r>
        <w:br/>
      </w:r>
    </w:p>
    <w:p w14:paraId="0AB163EC" w14:textId="77777777" w:rsidR="00501C53" w:rsidRDefault="00000000">
      <w:pPr>
        <w:spacing w:line="240" w:lineRule="auto"/>
        <w:jc w:val="center"/>
      </w:pPr>
      <w:r>
        <w:rPr>
          <w:b/>
          <w:sz w:val="28"/>
        </w:rPr>
        <w:t>BILJEŠKE UZ FINANCIJSKE IZVJEŠTAJE</w:t>
      </w:r>
    </w:p>
    <w:p w14:paraId="0AB163ED" w14:textId="77777777" w:rsidR="00501C53" w:rsidRDefault="00000000">
      <w:pPr>
        <w:spacing w:line="240" w:lineRule="auto"/>
        <w:jc w:val="center"/>
      </w:pPr>
      <w:r>
        <w:rPr>
          <w:b/>
          <w:sz w:val="28"/>
        </w:rPr>
        <w:t>ZA RAZDOBLJE</w:t>
      </w:r>
    </w:p>
    <w:p w14:paraId="0AB163EE" w14:textId="77777777" w:rsidR="00501C53" w:rsidRDefault="00000000">
      <w:pPr>
        <w:spacing w:line="240" w:lineRule="auto"/>
        <w:jc w:val="center"/>
      </w:pPr>
      <w:r>
        <w:rPr>
          <w:b/>
          <w:sz w:val="28"/>
        </w:rPr>
        <w:t>I - III 2026.</w:t>
      </w:r>
    </w:p>
    <w:p w14:paraId="0AB163EF" w14:textId="77777777" w:rsidR="00501C53" w:rsidRDefault="00501C53"/>
    <w:p w14:paraId="0AB163F0" w14:textId="77777777" w:rsidR="00501C53" w:rsidRDefault="00000000">
      <w:pPr>
        <w:keepNext/>
        <w:spacing w:line="240" w:lineRule="auto"/>
        <w:jc w:val="center"/>
      </w:pPr>
      <w:r>
        <w:rPr>
          <w:b/>
          <w:sz w:val="28"/>
        </w:rPr>
        <w:t>Izvještaj o prihodima i rashodima, primicima i izdacima</w:t>
      </w:r>
    </w:p>
    <w:p w14:paraId="0AB163F1" w14:textId="77777777" w:rsidR="00501C5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3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3F2"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3F3"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3F4"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3F5"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3F6"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3F7" w14:textId="77777777" w:rsidR="00501C53" w:rsidRDefault="00000000">
            <w:pPr>
              <w:keepNext/>
              <w:keepLines/>
              <w:spacing w:after="0" w:line="240" w:lineRule="auto"/>
              <w:jc w:val="center"/>
            </w:pPr>
            <w:r>
              <w:rPr>
                <w:b/>
                <w:sz w:val="18"/>
              </w:rPr>
              <w:t>Indeks (%)</w:t>
            </w:r>
          </w:p>
        </w:tc>
      </w:tr>
      <w:tr w:rsidR="00501C53" w14:paraId="0AB163FF" w14:textId="77777777">
        <w:tblPrEx>
          <w:tblCellMar>
            <w:top w:w="0" w:type="dxa"/>
            <w:bottom w:w="0" w:type="dxa"/>
          </w:tblCellMar>
        </w:tblPrEx>
        <w:trPr>
          <w:cantSplit/>
          <w:trHeight w:val="560"/>
        </w:trPr>
        <w:tc>
          <w:tcPr>
            <w:tcW w:w="700" w:type="dxa"/>
            <w:tcMar>
              <w:top w:w="0" w:type="dxa"/>
              <w:bottom w:w="0" w:type="dxa"/>
            </w:tcMar>
            <w:vAlign w:val="center"/>
          </w:tcPr>
          <w:p w14:paraId="0AB163F9" w14:textId="77777777" w:rsidR="00501C53" w:rsidRDefault="00000000">
            <w:pPr>
              <w:keepNext/>
              <w:keepLines/>
              <w:spacing w:after="0" w:line="240" w:lineRule="auto"/>
            </w:pPr>
            <w:r>
              <w:rPr>
                <w:sz w:val="18"/>
              </w:rPr>
              <w:t>6</w:t>
            </w:r>
          </w:p>
        </w:tc>
        <w:tc>
          <w:tcPr>
            <w:tcW w:w="3180" w:type="dxa"/>
            <w:tcMar>
              <w:top w:w="0" w:type="dxa"/>
              <w:bottom w:w="0" w:type="dxa"/>
            </w:tcMar>
            <w:vAlign w:val="center"/>
          </w:tcPr>
          <w:p w14:paraId="0AB163FA" w14:textId="77777777" w:rsidR="00501C5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AB163FB" w14:textId="77777777" w:rsidR="00501C53" w:rsidRDefault="00000000">
            <w:pPr>
              <w:keepNext/>
              <w:keepLines/>
              <w:spacing w:after="0" w:line="240" w:lineRule="auto"/>
            </w:pPr>
            <w:r>
              <w:rPr>
                <w:sz w:val="18"/>
              </w:rPr>
              <w:t>6</w:t>
            </w:r>
          </w:p>
        </w:tc>
        <w:tc>
          <w:tcPr>
            <w:tcW w:w="1860" w:type="dxa"/>
            <w:tcMar>
              <w:top w:w="0" w:type="dxa"/>
              <w:bottom w:w="0" w:type="dxa"/>
            </w:tcMar>
            <w:vAlign w:val="center"/>
          </w:tcPr>
          <w:p w14:paraId="0AB163FC" w14:textId="77777777" w:rsidR="00501C53" w:rsidRDefault="00000000">
            <w:pPr>
              <w:keepNext/>
              <w:keepLines/>
              <w:spacing w:after="0" w:line="240" w:lineRule="auto"/>
              <w:jc w:val="right"/>
            </w:pPr>
            <w:r>
              <w:rPr>
                <w:sz w:val="18"/>
              </w:rPr>
              <w:t>1.347.808,55</w:t>
            </w:r>
          </w:p>
        </w:tc>
        <w:tc>
          <w:tcPr>
            <w:tcW w:w="1860" w:type="dxa"/>
            <w:tcMar>
              <w:top w:w="0" w:type="dxa"/>
              <w:bottom w:w="0" w:type="dxa"/>
            </w:tcMar>
            <w:vAlign w:val="center"/>
          </w:tcPr>
          <w:p w14:paraId="0AB163FD" w14:textId="77777777" w:rsidR="00501C53" w:rsidRDefault="00000000">
            <w:pPr>
              <w:keepNext/>
              <w:keepLines/>
              <w:spacing w:after="0" w:line="240" w:lineRule="auto"/>
              <w:jc w:val="right"/>
            </w:pPr>
            <w:r>
              <w:rPr>
                <w:sz w:val="18"/>
              </w:rPr>
              <w:t>1.403.808,03</w:t>
            </w:r>
          </w:p>
        </w:tc>
        <w:tc>
          <w:tcPr>
            <w:tcW w:w="700" w:type="dxa"/>
            <w:tcMar>
              <w:top w:w="0" w:type="dxa"/>
              <w:bottom w:w="0" w:type="dxa"/>
            </w:tcMar>
            <w:vAlign w:val="center"/>
          </w:tcPr>
          <w:p w14:paraId="0AB163FE" w14:textId="77777777" w:rsidR="00501C53" w:rsidRDefault="00000000">
            <w:pPr>
              <w:keepNext/>
              <w:keepLines/>
              <w:spacing w:after="0" w:line="240" w:lineRule="auto"/>
              <w:jc w:val="right"/>
            </w:pPr>
            <w:r>
              <w:rPr>
                <w:sz w:val="18"/>
              </w:rPr>
              <w:t>104,2</w:t>
            </w:r>
          </w:p>
        </w:tc>
      </w:tr>
      <w:tr w:rsidR="00501C53" w14:paraId="0AB16406" w14:textId="77777777">
        <w:tblPrEx>
          <w:tblCellMar>
            <w:top w:w="0" w:type="dxa"/>
            <w:bottom w:w="0" w:type="dxa"/>
          </w:tblCellMar>
        </w:tblPrEx>
        <w:trPr>
          <w:cantSplit/>
          <w:trHeight w:val="560"/>
        </w:trPr>
        <w:tc>
          <w:tcPr>
            <w:tcW w:w="700" w:type="dxa"/>
            <w:tcMar>
              <w:top w:w="0" w:type="dxa"/>
              <w:bottom w:w="0" w:type="dxa"/>
            </w:tcMar>
            <w:vAlign w:val="center"/>
          </w:tcPr>
          <w:p w14:paraId="0AB16400" w14:textId="77777777" w:rsidR="00501C53" w:rsidRDefault="00000000">
            <w:pPr>
              <w:keepNext/>
              <w:keepLines/>
              <w:spacing w:after="0" w:line="240" w:lineRule="auto"/>
            </w:pPr>
            <w:r>
              <w:rPr>
                <w:sz w:val="18"/>
              </w:rPr>
              <w:t>3</w:t>
            </w:r>
          </w:p>
        </w:tc>
        <w:tc>
          <w:tcPr>
            <w:tcW w:w="3180" w:type="dxa"/>
            <w:tcMar>
              <w:top w:w="0" w:type="dxa"/>
              <w:bottom w:w="0" w:type="dxa"/>
            </w:tcMar>
            <w:vAlign w:val="center"/>
          </w:tcPr>
          <w:p w14:paraId="0AB16401" w14:textId="77777777" w:rsidR="00501C5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AB16402" w14:textId="77777777" w:rsidR="00501C53" w:rsidRDefault="00000000">
            <w:pPr>
              <w:keepNext/>
              <w:keepLines/>
              <w:spacing w:after="0" w:line="240" w:lineRule="auto"/>
            </w:pPr>
            <w:r>
              <w:rPr>
                <w:sz w:val="18"/>
              </w:rPr>
              <w:t>3</w:t>
            </w:r>
          </w:p>
        </w:tc>
        <w:tc>
          <w:tcPr>
            <w:tcW w:w="1860" w:type="dxa"/>
            <w:tcMar>
              <w:top w:w="0" w:type="dxa"/>
              <w:bottom w:w="0" w:type="dxa"/>
            </w:tcMar>
            <w:vAlign w:val="center"/>
          </w:tcPr>
          <w:p w14:paraId="0AB16403" w14:textId="77777777" w:rsidR="00501C53" w:rsidRDefault="00000000">
            <w:pPr>
              <w:keepNext/>
              <w:keepLines/>
              <w:spacing w:after="0" w:line="240" w:lineRule="auto"/>
              <w:jc w:val="right"/>
            </w:pPr>
            <w:r>
              <w:rPr>
                <w:sz w:val="18"/>
              </w:rPr>
              <w:t>1.359.354,13</w:t>
            </w:r>
          </w:p>
        </w:tc>
        <w:tc>
          <w:tcPr>
            <w:tcW w:w="1860" w:type="dxa"/>
            <w:tcMar>
              <w:top w:w="0" w:type="dxa"/>
              <w:bottom w:w="0" w:type="dxa"/>
            </w:tcMar>
            <w:vAlign w:val="center"/>
          </w:tcPr>
          <w:p w14:paraId="0AB16404" w14:textId="77777777" w:rsidR="00501C53" w:rsidRDefault="00000000">
            <w:pPr>
              <w:keepNext/>
              <w:keepLines/>
              <w:spacing w:after="0" w:line="240" w:lineRule="auto"/>
              <w:jc w:val="right"/>
            </w:pPr>
            <w:r>
              <w:rPr>
                <w:sz w:val="18"/>
              </w:rPr>
              <w:t>1.412.039,22</w:t>
            </w:r>
          </w:p>
        </w:tc>
        <w:tc>
          <w:tcPr>
            <w:tcW w:w="700" w:type="dxa"/>
            <w:tcMar>
              <w:top w:w="0" w:type="dxa"/>
              <w:bottom w:w="0" w:type="dxa"/>
            </w:tcMar>
            <w:vAlign w:val="center"/>
          </w:tcPr>
          <w:p w14:paraId="0AB16405" w14:textId="77777777" w:rsidR="00501C53" w:rsidRDefault="00000000">
            <w:pPr>
              <w:keepNext/>
              <w:keepLines/>
              <w:spacing w:after="0" w:line="240" w:lineRule="auto"/>
              <w:jc w:val="right"/>
            </w:pPr>
            <w:r>
              <w:rPr>
                <w:sz w:val="18"/>
              </w:rPr>
              <w:t>103,9</w:t>
            </w:r>
          </w:p>
        </w:tc>
      </w:tr>
      <w:tr w:rsidR="00501C53" w14:paraId="0AB1640D" w14:textId="77777777">
        <w:tblPrEx>
          <w:tblCellMar>
            <w:top w:w="0" w:type="dxa"/>
            <w:bottom w:w="0" w:type="dxa"/>
          </w:tblCellMar>
        </w:tblPrEx>
        <w:trPr>
          <w:cantSplit/>
          <w:trHeight w:val="560"/>
        </w:trPr>
        <w:tc>
          <w:tcPr>
            <w:tcW w:w="700" w:type="dxa"/>
            <w:tcMar>
              <w:top w:w="0" w:type="dxa"/>
              <w:bottom w:w="0" w:type="dxa"/>
            </w:tcMar>
            <w:vAlign w:val="center"/>
          </w:tcPr>
          <w:p w14:paraId="0AB16407" w14:textId="77777777" w:rsidR="00501C53" w:rsidRDefault="00501C53">
            <w:pPr>
              <w:keepNext/>
              <w:keepLines/>
              <w:spacing w:after="0" w:line="240" w:lineRule="auto"/>
            </w:pPr>
          </w:p>
        </w:tc>
        <w:tc>
          <w:tcPr>
            <w:tcW w:w="3180" w:type="dxa"/>
            <w:tcMar>
              <w:top w:w="0" w:type="dxa"/>
              <w:bottom w:w="0" w:type="dxa"/>
            </w:tcMar>
            <w:vAlign w:val="center"/>
          </w:tcPr>
          <w:p w14:paraId="0AB16408" w14:textId="77777777" w:rsidR="00501C53"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AB16409" w14:textId="77777777" w:rsidR="00501C53" w:rsidRDefault="00000000">
            <w:pPr>
              <w:keepNext/>
              <w:keepLines/>
              <w:spacing w:after="0" w:line="240" w:lineRule="auto"/>
            </w:pPr>
            <w:r>
              <w:rPr>
                <w:b/>
                <w:sz w:val="18"/>
              </w:rPr>
              <w:t>Y001</w:t>
            </w:r>
          </w:p>
        </w:tc>
        <w:tc>
          <w:tcPr>
            <w:tcW w:w="1860" w:type="dxa"/>
            <w:tcMar>
              <w:top w:w="0" w:type="dxa"/>
              <w:bottom w:w="0" w:type="dxa"/>
            </w:tcMar>
            <w:vAlign w:val="center"/>
          </w:tcPr>
          <w:p w14:paraId="0AB1640A" w14:textId="77777777" w:rsidR="00501C53" w:rsidRDefault="00000000">
            <w:pPr>
              <w:keepNext/>
              <w:keepLines/>
              <w:spacing w:after="0" w:line="240" w:lineRule="auto"/>
              <w:jc w:val="right"/>
            </w:pPr>
            <w:r>
              <w:rPr>
                <w:b/>
                <w:sz w:val="18"/>
              </w:rPr>
              <w:t>11.545,58</w:t>
            </w:r>
          </w:p>
        </w:tc>
        <w:tc>
          <w:tcPr>
            <w:tcW w:w="1860" w:type="dxa"/>
            <w:tcMar>
              <w:top w:w="0" w:type="dxa"/>
              <w:bottom w:w="0" w:type="dxa"/>
            </w:tcMar>
            <w:vAlign w:val="center"/>
          </w:tcPr>
          <w:p w14:paraId="0AB1640B" w14:textId="77777777" w:rsidR="00501C53" w:rsidRDefault="00000000">
            <w:pPr>
              <w:keepNext/>
              <w:keepLines/>
              <w:spacing w:after="0" w:line="240" w:lineRule="auto"/>
              <w:jc w:val="right"/>
            </w:pPr>
            <w:r>
              <w:rPr>
                <w:b/>
                <w:sz w:val="18"/>
              </w:rPr>
              <w:t>8.231,19</w:t>
            </w:r>
          </w:p>
        </w:tc>
        <w:tc>
          <w:tcPr>
            <w:tcW w:w="700" w:type="dxa"/>
            <w:tcMar>
              <w:top w:w="0" w:type="dxa"/>
              <w:bottom w:w="0" w:type="dxa"/>
            </w:tcMar>
            <w:vAlign w:val="center"/>
          </w:tcPr>
          <w:p w14:paraId="0AB1640C" w14:textId="77777777" w:rsidR="00501C53" w:rsidRDefault="00000000">
            <w:pPr>
              <w:keepNext/>
              <w:keepLines/>
              <w:spacing w:after="0" w:line="240" w:lineRule="auto"/>
              <w:jc w:val="right"/>
            </w:pPr>
            <w:r>
              <w:rPr>
                <w:b/>
                <w:sz w:val="18"/>
              </w:rPr>
              <w:t>71,3</w:t>
            </w:r>
          </w:p>
        </w:tc>
      </w:tr>
      <w:tr w:rsidR="00501C53" w14:paraId="0AB16414" w14:textId="77777777">
        <w:tblPrEx>
          <w:tblCellMar>
            <w:top w:w="0" w:type="dxa"/>
            <w:bottom w:w="0" w:type="dxa"/>
          </w:tblCellMar>
        </w:tblPrEx>
        <w:trPr>
          <w:cantSplit/>
          <w:trHeight w:val="560"/>
        </w:trPr>
        <w:tc>
          <w:tcPr>
            <w:tcW w:w="700" w:type="dxa"/>
            <w:tcMar>
              <w:top w:w="0" w:type="dxa"/>
              <w:bottom w:w="0" w:type="dxa"/>
            </w:tcMar>
            <w:vAlign w:val="center"/>
          </w:tcPr>
          <w:p w14:paraId="0AB1640E" w14:textId="77777777" w:rsidR="00501C53" w:rsidRDefault="00000000">
            <w:pPr>
              <w:keepNext/>
              <w:keepLines/>
              <w:spacing w:after="0" w:line="240" w:lineRule="auto"/>
            </w:pPr>
            <w:r>
              <w:rPr>
                <w:sz w:val="18"/>
              </w:rPr>
              <w:t>7</w:t>
            </w:r>
          </w:p>
        </w:tc>
        <w:tc>
          <w:tcPr>
            <w:tcW w:w="3180" w:type="dxa"/>
            <w:tcMar>
              <w:top w:w="0" w:type="dxa"/>
              <w:bottom w:w="0" w:type="dxa"/>
            </w:tcMar>
            <w:vAlign w:val="center"/>
          </w:tcPr>
          <w:p w14:paraId="0AB1640F" w14:textId="77777777" w:rsidR="00501C5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AB16410" w14:textId="77777777" w:rsidR="00501C53" w:rsidRDefault="00000000">
            <w:pPr>
              <w:keepNext/>
              <w:keepLines/>
              <w:spacing w:after="0" w:line="240" w:lineRule="auto"/>
            </w:pPr>
            <w:r>
              <w:rPr>
                <w:sz w:val="18"/>
              </w:rPr>
              <w:t>7</w:t>
            </w:r>
          </w:p>
        </w:tc>
        <w:tc>
          <w:tcPr>
            <w:tcW w:w="1860" w:type="dxa"/>
            <w:tcMar>
              <w:top w:w="0" w:type="dxa"/>
              <w:bottom w:w="0" w:type="dxa"/>
            </w:tcMar>
            <w:vAlign w:val="center"/>
          </w:tcPr>
          <w:p w14:paraId="0AB16411" w14:textId="77777777" w:rsidR="00501C53" w:rsidRDefault="00000000">
            <w:pPr>
              <w:keepNext/>
              <w:keepLines/>
              <w:spacing w:after="0" w:line="240" w:lineRule="auto"/>
              <w:jc w:val="right"/>
            </w:pPr>
            <w:r>
              <w:rPr>
                <w:sz w:val="18"/>
              </w:rPr>
              <w:t>0,00</w:t>
            </w:r>
          </w:p>
        </w:tc>
        <w:tc>
          <w:tcPr>
            <w:tcW w:w="1860" w:type="dxa"/>
            <w:tcMar>
              <w:top w:w="0" w:type="dxa"/>
              <w:bottom w:w="0" w:type="dxa"/>
            </w:tcMar>
            <w:vAlign w:val="center"/>
          </w:tcPr>
          <w:p w14:paraId="0AB16412" w14:textId="77777777" w:rsidR="00501C53" w:rsidRDefault="00000000">
            <w:pPr>
              <w:keepNext/>
              <w:keepLines/>
              <w:spacing w:after="0" w:line="240" w:lineRule="auto"/>
              <w:jc w:val="right"/>
            </w:pPr>
            <w:r>
              <w:rPr>
                <w:sz w:val="18"/>
              </w:rPr>
              <w:t>0,00</w:t>
            </w:r>
          </w:p>
        </w:tc>
        <w:tc>
          <w:tcPr>
            <w:tcW w:w="700" w:type="dxa"/>
            <w:tcMar>
              <w:top w:w="0" w:type="dxa"/>
              <w:bottom w:w="0" w:type="dxa"/>
            </w:tcMar>
            <w:vAlign w:val="center"/>
          </w:tcPr>
          <w:p w14:paraId="0AB16413" w14:textId="77777777" w:rsidR="00501C53" w:rsidRDefault="00000000">
            <w:pPr>
              <w:keepNext/>
              <w:keepLines/>
              <w:spacing w:after="0" w:line="240" w:lineRule="auto"/>
              <w:jc w:val="right"/>
            </w:pPr>
            <w:r>
              <w:rPr>
                <w:sz w:val="18"/>
              </w:rPr>
              <w:t>-</w:t>
            </w:r>
          </w:p>
        </w:tc>
      </w:tr>
      <w:tr w:rsidR="00501C53" w14:paraId="0AB1641B" w14:textId="77777777">
        <w:tblPrEx>
          <w:tblCellMar>
            <w:top w:w="0" w:type="dxa"/>
            <w:bottom w:w="0" w:type="dxa"/>
          </w:tblCellMar>
        </w:tblPrEx>
        <w:trPr>
          <w:cantSplit/>
          <w:trHeight w:val="560"/>
        </w:trPr>
        <w:tc>
          <w:tcPr>
            <w:tcW w:w="700" w:type="dxa"/>
            <w:tcMar>
              <w:top w:w="0" w:type="dxa"/>
              <w:bottom w:w="0" w:type="dxa"/>
            </w:tcMar>
            <w:vAlign w:val="center"/>
          </w:tcPr>
          <w:p w14:paraId="0AB16415" w14:textId="77777777" w:rsidR="00501C53" w:rsidRDefault="00000000">
            <w:pPr>
              <w:keepNext/>
              <w:keepLines/>
              <w:spacing w:after="0" w:line="240" w:lineRule="auto"/>
            </w:pPr>
            <w:r>
              <w:rPr>
                <w:sz w:val="18"/>
              </w:rPr>
              <w:t>4</w:t>
            </w:r>
          </w:p>
        </w:tc>
        <w:tc>
          <w:tcPr>
            <w:tcW w:w="3180" w:type="dxa"/>
            <w:tcMar>
              <w:top w:w="0" w:type="dxa"/>
              <w:bottom w:w="0" w:type="dxa"/>
            </w:tcMar>
            <w:vAlign w:val="center"/>
          </w:tcPr>
          <w:p w14:paraId="0AB16416" w14:textId="77777777" w:rsidR="00501C5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AB16417" w14:textId="77777777" w:rsidR="00501C53" w:rsidRDefault="00000000">
            <w:pPr>
              <w:keepNext/>
              <w:keepLines/>
              <w:spacing w:after="0" w:line="240" w:lineRule="auto"/>
            </w:pPr>
            <w:r>
              <w:rPr>
                <w:sz w:val="18"/>
              </w:rPr>
              <w:t>4</w:t>
            </w:r>
          </w:p>
        </w:tc>
        <w:tc>
          <w:tcPr>
            <w:tcW w:w="1860" w:type="dxa"/>
            <w:tcMar>
              <w:top w:w="0" w:type="dxa"/>
              <w:bottom w:w="0" w:type="dxa"/>
            </w:tcMar>
            <w:vAlign w:val="center"/>
          </w:tcPr>
          <w:p w14:paraId="0AB16418" w14:textId="77777777" w:rsidR="00501C53" w:rsidRDefault="00000000">
            <w:pPr>
              <w:keepNext/>
              <w:keepLines/>
              <w:spacing w:after="0" w:line="240" w:lineRule="auto"/>
              <w:jc w:val="right"/>
            </w:pPr>
            <w:r>
              <w:rPr>
                <w:sz w:val="18"/>
              </w:rPr>
              <w:t>6.483,75</w:t>
            </w:r>
          </w:p>
        </w:tc>
        <w:tc>
          <w:tcPr>
            <w:tcW w:w="1860" w:type="dxa"/>
            <w:tcMar>
              <w:top w:w="0" w:type="dxa"/>
              <w:bottom w:w="0" w:type="dxa"/>
            </w:tcMar>
            <w:vAlign w:val="center"/>
          </w:tcPr>
          <w:p w14:paraId="0AB16419" w14:textId="77777777" w:rsidR="00501C53" w:rsidRDefault="00000000">
            <w:pPr>
              <w:keepNext/>
              <w:keepLines/>
              <w:spacing w:after="0" w:line="240" w:lineRule="auto"/>
              <w:jc w:val="right"/>
            </w:pPr>
            <w:r>
              <w:rPr>
                <w:sz w:val="18"/>
              </w:rPr>
              <w:t>88,98</w:t>
            </w:r>
          </w:p>
        </w:tc>
        <w:tc>
          <w:tcPr>
            <w:tcW w:w="700" w:type="dxa"/>
            <w:tcMar>
              <w:top w:w="0" w:type="dxa"/>
              <w:bottom w:w="0" w:type="dxa"/>
            </w:tcMar>
            <w:vAlign w:val="center"/>
          </w:tcPr>
          <w:p w14:paraId="0AB1641A" w14:textId="77777777" w:rsidR="00501C53" w:rsidRDefault="00000000">
            <w:pPr>
              <w:keepNext/>
              <w:keepLines/>
              <w:spacing w:after="0" w:line="240" w:lineRule="auto"/>
              <w:jc w:val="right"/>
            </w:pPr>
            <w:r>
              <w:rPr>
                <w:sz w:val="18"/>
              </w:rPr>
              <w:t>1,4</w:t>
            </w:r>
          </w:p>
        </w:tc>
      </w:tr>
      <w:tr w:rsidR="00501C53" w14:paraId="0AB16422" w14:textId="77777777">
        <w:tblPrEx>
          <w:tblCellMar>
            <w:top w:w="0" w:type="dxa"/>
            <w:bottom w:w="0" w:type="dxa"/>
          </w:tblCellMar>
        </w:tblPrEx>
        <w:trPr>
          <w:cantSplit/>
          <w:trHeight w:val="560"/>
        </w:trPr>
        <w:tc>
          <w:tcPr>
            <w:tcW w:w="700" w:type="dxa"/>
            <w:tcMar>
              <w:top w:w="0" w:type="dxa"/>
              <w:bottom w:w="0" w:type="dxa"/>
            </w:tcMar>
            <w:vAlign w:val="center"/>
          </w:tcPr>
          <w:p w14:paraId="0AB1641C" w14:textId="77777777" w:rsidR="00501C53" w:rsidRDefault="00501C53">
            <w:pPr>
              <w:keepNext/>
              <w:keepLines/>
              <w:spacing w:after="0" w:line="240" w:lineRule="auto"/>
            </w:pPr>
          </w:p>
        </w:tc>
        <w:tc>
          <w:tcPr>
            <w:tcW w:w="3180" w:type="dxa"/>
            <w:tcMar>
              <w:top w:w="0" w:type="dxa"/>
              <w:bottom w:w="0" w:type="dxa"/>
            </w:tcMar>
            <w:vAlign w:val="center"/>
          </w:tcPr>
          <w:p w14:paraId="0AB1641D" w14:textId="77777777" w:rsidR="00501C5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AB1641E" w14:textId="77777777" w:rsidR="00501C53" w:rsidRDefault="00000000">
            <w:pPr>
              <w:keepNext/>
              <w:keepLines/>
              <w:spacing w:after="0" w:line="240" w:lineRule="auto"/>
            </w:pPr>
            <w:r>
              <w:rPr>
                <w:b/>
                <w:sz w:val="18"/>
              </w:rPr>
              <w:t>Y002</w:t>
            </w:r>
          </w:p>
        </w:tc>
        <w:tc>
          <w:tcPr>
            <w:tcW w:w="1860" w:type="dxa"/>
            <w:tcMar>
              <w:top w:w="0" w:type="dxa"/>
              <w:bottom w:w="0" w:type="dxa"/>
            </w:tcMar>
            <w:vAlign w:val="center"/>
          </w:tcPr>
          <w:p w14:paraId="0AB1641F" w14:textId="77777777" w:rsidR="00501C53" w:rsidRDefault="00000000">
            <w:pPr>
              <w:keepNext/>
              <w:keepLines/>
              <w:spacing w:after="0" w:line="240" w:lineRule="auto"/>
              <w:jc w:val="right"/>
            </w:pPr>
            <w:r>
              <w:rPr>
                <w:b/>
                <w:sz w:val="18"/>
              </w:rPr>
              <w:t>6.483,75</w:t>
            </w:r>
          </w:p>
        </w:tc>
        <w:tc>
          <w:tcPr>
            <w:tcW w:w="1860" w:type="dxa"/>
            <w:tcMar>
              <w:top w:w="0" w:type="dxa"/>
              <w:bottom w:w="0" w:type="dxa"/>
            </w:tcMar>
            <w:vAlign w:val="center"/>
          </w:tcPr>
          <w:p w14:paraId="0AB16420" w14:textId="77777777" w:rsidR="00501C53" w:rsidRDefault="00000000">
            <w:pPr>
              <w:keepNext/>
              <w:keepLines/>
              <w:spacing w:after="0" w:line="240" w:lineRule="auto"/>
              <w:jc w:val="right"/>
            </w:pPr>
            <w:r>
              <w:rPr>
                <w:b/>
                <w:sz w:val="18"/>
              </w:rPr>
              <w:t>88,98</w:t>
            </w:r>
          </w:p>
        </w:tc>
        <w:tc>
          <w:tcPr>
            <w:tcW w:w="700" w:type="dxa"/>
            <w:tcMar>
              <w:top w:w="0" w:type="dxa"/>
              <w:bottom w:w="0" w:type="dxa"/>
            </w:tcMar>
            <w:vAlign w:val="center"/>
          </w:tcPr>
          <w:p w14:paraId="0AB16421" w14:textId="77777777" w:rsidR="00501C53" w:rsidRDefault="00000000">
            <w:pPr>
              <w:keepNext/>
              <w:keepLines/>
              <w:spacing w:after="0" w:line="240" w:lineRule="auto"/>
              <w:jc w:val="right"/>
            </w:pPr>
            <w:r>
              <w:rPr>
                <w:b/>
                <w:sz w:val="18"/>
              </w:rPr>
              <w:t>1,4</w:t>
            </w:r>
          </w:p>
        </w:tc>
      </w:tr>
      <w:tr w:rsidR="00501C53" w14:paraId="0AB16429" w14:textId="77777777">
        <w:tblPrEx>
          <w:tblCellMar>
            <w:top w:w="0" w:type="dxa"/>
            <w:bottom w:w="0" w:type="dxa"/>
          </w:tblCellMar>
        </w:tblPrEx>
        <w:trPr>
          <w:cantSplit/>
          <w:trHeight w:val="560"/>
        </w:trPr>
        <w:tc>
          <w:tcPr>
            <w:tcW w:w="700" w:type="dxa"/>
            <w:tcMar>
              <w:top w:w="0" w:type="dxa"/>
              <w:bottom w:w="0" w:type="dxa"/>
            </w:tcMar>
            <w:vAlign w:val="center"/>
          </w:tcPr>
          <w:p w14:paraId="0AB16423" w14:textId="77777777" w:rsidR="00501C53" w:rsidRDefault="00000000">
            <w:pPr>
              <w:keepNext/>
              <w:keepLines/>
              <w:spacing w:after="0" w:line="240" w:lineRule="auto"/>
            </w:pPr>
            <w:r>
              <w:rPr>
                <w:sz w:val="18"/>
              </w:rPr>
              <w:t>8</w:t>
            </w:r>
          </w:p>
        </w:tc>
        <w:tc>
          <w:tcPr>
            <w:tcW w:w="3180" w:type="dxa"/>
            <w:tcMar>
              <w:top w:w="0" w:type="dxa"/>
              <w:bottom w:w="0" w:type="dxa"/>
            </w:tcMar>
            <w:vAlign w:val="center"/>
          </w:tcPr>
          <w:p w14:paraId="0AB16424" w14:textId="77777777" w:rsidR="00501C5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B16425" w14:textId="77777777" w:rsidR="00501C53" w:rsidRDefault="00000000">
            <w:pPr>
              <w:keepNext/>
              <w:keepLines/>
              <w:spacing w:after="0" w:line="240" w:lineRule="auto"/>
            </w:pPr>
            <w:r>
              <w:rPr>
                <w:sz w:val="18"/>
              </w:rPr>
              <w:t>8</w:t>
            </w:r>
          </w:p>
        </w:tc>
        <w:tc>
          <w:tcPr>
            <w:tcW w:w="1860" w:type="dxa"/>
            <w:tcMar>
              <w:top w:w="0" w:type="dxa"/>
              <w:bottom w:w="0" w:type="dxa"/>
            </w:tcMar>
            <w:vAlign w:val="center"/>
          </w:tcPr>
          <w:p w14:paraId="0AB16426" w14:textId="77777777" w:rsidR="00501C53" w:rsidRDefault="00000000">
            <w:pPr>
              <w:keepNext/>
              <w:keepLines/>
              <w:spacing w:after="0" w:line="240" w:lineRule="auto"/>
              <w:jc w:val="right"/>
            </w:pPr>
            <w:r>
              <w:rPr>
                <w:sz w:val="18"/>
              </w:rPr>
              <w:t>0,00</w:t>
            </w:r>
          </w:p>
        </w:tc>
        <w:tc>
          <w:tcPr>
            <w:tcW w:w="1860" w:type="dxa"/>
            <w:tcMar>
              <w:top w:w="0" w:type="dxa"/>
              <w:bottom w:w="0" w:type="dxa"/>
            </w:tcMar>
            <w:vAlign w:val="center"/>
          </w:tcPr>
          <w:p w14:paraId="0AB16427" w14:textId="77777777" w:rsidR="00501C53" w:rsidRDefault="00000000">
            <w:pPr>
              <w:keepNext/>
              <w:keepLines/>
              <w:spacing w:after="0" w:line="240" w:lineRule="auto"/>
              <w:jc w:val="right"/>
            </w:pPr>
            <w:r>
              <w:rPr>
                <w:sz w:val="18"/>
              </w:rPr>
              <w:t>0,00</w:t>
            </w:r>
          </w:p>
        </w:tc>
        <w:tc>
          <w:tcPr>
            <w:tcW w:w="700" w:type="dxa"/>
            <w:tcMar>
              <w:top w:w="0" w:type="dxa"/>
              <w:bottom w:w="0" w:type="dxa"/>
            </w:tcMar>
            <w:vAlign w:val="center"/>
          </w:tcPr>
          <w:p w14:paraId="0AB16428" w14:textId="77777777" w:rsidR="00501C53" w:rsidRDefault="00000000">
            <w:pPr>
              <w:keepNext/>
              <w:keepLines/>
              <w:spacing w:after="0" w:line="240" w:lineRule="auto"/>
              <w:jc w:val="right"/>
            </w:pPr>
            <w:r>
              <w:rPr>
                <w:sz w:val="18"/>
              </w:rPr>
              <w:t>-</w:t>
            </w:r>
          </w:p>
        </w:tc>
      </w:tr>
      <w:tr w:rsidR="00501C53" w14:paraId="0AB16430" w14:textId="77777777">
        <w:tblPrEx>
          <w:tblCellMar>
            <w:top w:w="0" w:type="dxa"/>
            <w:bottom w:w="0" w:type="dxa"/>
          </w:tblCellMar>
        </w:tblPrEx>
        <w:trPr>
          <w:cantSplit/>
          <w:trHeight w:val="560"/>
        </w:trPr>
        <w:tc>
          <w:tcPr>
            <w:tcW w:w="700" w:type="dxa"/>
            <w:tcMar>
              <w:top w:w="0" w:type="dxa"/>
              <w:bottom w:w="0" w:type="dxa"/>
            </w:tcMar>
            <w:vAlign w:val="center"/>
          </w:tcPr>
          <w:p w14:paraId="0AB1642A" w14:textId="77777777" w:rsidR="00501C53" w:rsidRDefault="00000000">
            <w:pPr>
              <w:keepNext/>
              <w:keepLines/>
              <w:spacing w:after="0" w:line="240" w:lineRule="auto"/>
            </w:pPr>
            <w:r>
              <w:rPr>
                <w:sz w:val="18"/>
              </w:rPr>
              <w:t>5</w:t>
            </w:r>
          </w:p>
        </w:tc>
        <w:tc>
          <w:tcPr>
            <w:tcW w:w="3180" w:type="dxa"/>
            <w:tcMar>
              <w:top w:w="0" w:type="dxa"/>
              <w:bottom w:w="0" w:type="dxa"/>
            </w:tcMar>
            <w:vAlign w:val="center"/>
          </w:tcPr>
          <w:p w14:paraId="0AB1642B" w14:textId="77777777" w:rsidR="00501C5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AB1642C" w14:textId="77777777" w:rsidR="00501C53" w:rsidRDefault="00000000">
            <w:pPr>
              <w:keepNext/>
              <w:keepLines/>
              <w:spacing w:after="0" w:line="240" w:lineRule="auto"/>
            </w:pPr>
            <w:r>
              <w:rPr>
                <w:sz w:val="18"/>
              </w:rPr>
              <w:t>5</w:t>
            </w:r>
          </w:p>
        </w:tc>
        <w:tc>
          <w:tcPr>
            <w:tcW w:w="1860" w:type="dxa"/>
            <w:tcMar>
              <w:top w:w="0" w:type="dxa"/>
              <w:bottom w:w="0" w:type="dxa"/>
            </w:tcMar>
            <w:vAlign w:val="center"/>
          </w:tcPr>
          <w:p w14:paraId="0AB1642D" w14:textId="77777777" w:rsidR="00501C53" w:rsidRDefault="00000000">
            <w:pPr>
              <w:keepNext/>
              <w:keepLines/>
              <w:spacing w:after="0" w:line="240" w:lineRule="auto"/>
              <w:jc w:val="right"/>
            </w:pPr>
            <w:r>
              <w:rPr>
                <w:sz w:val="18"/>
              </w:rPr>
              <w:t>0,00</w:t>
            </w:r>
          </w:p>
        </w:tc>
        <w:tc>
          <w:tcPr>
            <w:tcW w:w="1860" w:type="dxa"/>
            <w:tcMar>
              <w:top w:w="0" w:type="dxa"/>
              <w:bottom w:w="0" w:type="dxa"/>
            </w:tcMar>
            <w:vAlign w:val="center"/>
          </w:tcPr>
          <w:p w14:paraId="0AB1642E" w14:textId="77777777" w:rsidR="00501C53" w:rsidRDefault="00000000">
            <w:pPr>
              <w:keepNext/>
              <w:keepLines/>
              <w:spacing w:after="0" w:line="240" w:lineRule="auto"/>
              <w:jc w:val="right"/>
            </w:pPr>
            <w:r>
              <w:rPr>
                <w:sz w:val="18"/>
              </w:rPr>
              <w:t>0,00</w:t>
            </w:r>
          </w:p>
        </w:tc>
        <w:tc>
          <w:tcPr>
            <w:tcW w:w="700" w:type="dxa"/>
            <w:tcMar>
              <w:top w:w="0" w:type="dxa"/>
              <w:bottom w:w="0" w:type="dxa"/>
            </w:tcMar>
            <w:vAlign w:val="center"/>
          </w:tcPr>
          <w:p w14:paraId="0AB1642F" w14:textId="77777777" w:rsidR="00501C53" w:rsidRDefault="00000000">
            <w:pPr>
              <w:keepNext/>
              <w:keepLines/>
              <w:spacing w:after="0" w:line="240" w:lineRule="auto"/>
              <w:jc w:val="right"/>
            </w:pPr>
            <w:r>
              <w:rPr>
                <w:sz w:val="18"/>
              </w:rPr>
              <w:t>-</w:t>
            </w:r>
          </w:p>
        </w:tc>
      </w:tr>
      <w:tr w:rsidR="00501C53" w14:paraId="0AB16437" w14:textId="77777777">
        <w:tblPrEx>
          <w:tblCellMar>
            <w:top w:w="0" w:type="dxa"/>
            <w:bottom w:w="0" w:type="dxa"/>
          </w:tblCellMar>
        </w:tblPrEx>
        <w:trPr>
          <w:cantSplit/>
          <w:trHeight w:val="560"/>
        </w:trPr>
        <w:tc>
          <w:tcPr>
            <w:tcW w:w="700" w:type="dxa"/>
            <w:tcMar>
              <w:top w:w="0" w:type="dxa"/>
              <w:bottom w:w="0" w:type="dxa"/>
            </w:tcMar>
            <w:vAlign w:val="center"/>
          </w:tcPr>
          <w:p w14:paraId="0AB16431" w14:textId="77777777" w:rsidR="00501C53" w:rsidRDefault="00501C53">
            <w:pPr>
              <w:keepNext/>
              <w:keepLines/>
              <w:spacing w:after="0" w:line="240" w:lineRule="auto"/>
            </w:pPr>
          </w:p>
        </w:tc>
        <w:tc>
          <w:tcPr>
            <w:tcW w:w="3180" w:type="dxa"/>
            <w:tcMar>
              <w:top w:w="0" w:type="dxa"/>
              <w:bottom w:w="0" w:type="dxa"/>
            </w:tcMar>
            <w:vAlign w:val="center"/>
          </w:tcPr>
          <w:p w14:paraId="0AB16432" w14:textId="77777777" w:rsidR="00501C5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AB16433" w14:textId="77777777" w:rsidR="00501C53" w:rsidRDefault="00000000">
            <w:pPr>
              <w:keepNext/>
              <w:keepLines/>
              <w:spacing w:after="0" w:line="240" w:lineRule="auto"/>
            </w:pPr>
            <w:r>
              <w:rPr>
                <w:b/>
                <w:sz w:val="18"/>
              </w:rPr>
              <w:t>X003, Y003</w:t>
            </w:r>
          </w:p>
        </w:tc>
        <w:tc>
          <w:tcPr>
            <w:tcW w:w="1860" w:type="dxa"/>
            <w:tcMar>
              <w:top w:w="0" w:type="dxa"/>
              <w:bottom w:w="0" w:type="dxa"/>
            </w:tcMar>
            <w:vAlign w:val="center"/>
          </w:tcPr>
          <w:p w14:paraId="0AB16434" w14:textId="77777777" w:rsidR="00501C53" w:rsidRDefault="00000000">
            <w:pPr>
              <w:keepNext/>
              <w:keepLines/>
              <w:spacing w:after="0" w:line="240" w:lineRule="auto"/>
              <w:jc w:val="right"/>
            </w:pPr>
            <w:r>
              <w:rPr>
                <w:b/>
                <w:sz w:val="18"/>
              </w:rPr>
              <w:t>0,00</w:t>
            </w:r>
          </w:p>
        </w:tc>
        <w:tc>
          <w:tcPr>
            <w:tcW w:w="1860" w:type="dxa"/>
            <w:tcMar>
              <w:top w:w="0" w:type="dxa"/>
              <w:bottom w:w="0" w:type="dxa"/>
            </w:tcMar>
            <w:vAlign w:val="center"/>
          </w:tcPr>
          <w:p w14:paraId="0AB16435" w14:textId="77777777" w:rsidR="00501C53" w:rsidRDefault="00000000">
            <w:pPr>
              <w:keepNext/>
              <w:keepLines/>
              <w:spacing w:after="0" w:line="240" w:lineRule="auto"/>
              <w:jc w:val="right"/>
            </w:pPr>
            <w:r>
              <w:rPr>
                <w:b/>
                <w:sz w:val="18"/>
              </w:rPr>
              <w:t>0,00</w:t>
            </w:r>
          </w:p>
        </w:tc>
        <w:tc>
          <w:tcPr>
            <w:tcW w:w="700" w:type="dxa"/>
            <w:tcMar>
              <w:top w:w="0" w:type="dxa"/>
              <w:bottom w:w="0" w:type="dxa"/>
            </w:tcMar>
            <w:vAlign w:val="center"/>
          </w:tcPr>
          <w:p w14:paraId="0AB16436" w14:textId="77777777" w:rsidR="00501C53" w:rsidRDefault="00000000">
            <w:pPr>
              <w:keepNext/>
              <w:keepLines/>
              <w:spacing w:after="0" w:line="240" w:lineRule="auto"/>
              <w:jc w:val="right"/>
            </w:pPr>
            <w:r>
              <w:rPr>
                <w:b/>
                <w:sz w:val="18"/>
              </w:rPr>
              <w:t>-</w:t>
            </w:r>
          </w:p>
        </w:tc>
      </w:tr>
      <w:tr w:rsidR="00501C53" w14:paraId="0AB1643E" w14:textId="77777777">
        <w:tblPrEx>
          <w:tblCellMar>
            <w:top w:w="0" w:type="dxa"/>
            <w:bottom w:w="0" w:type="dxa"/>
          </w:tblCellMar>
        </w:tblPrEx>
        <w:trPr>
          <w:cantSplit/>
          <w:trHeight w:val="560"/>
        </w:trPr>
        <w:tc>
          <w:tcPr>
            <w:tcW w:w="700" w:type="dxa"/>
            <w:tcMar>
              <w:top w:w="0" w:type="dxa"/>
              <w:bottom w:w="0" w:type="dxa"/>
            </w:tcMar>
            <w:vAlign w:val="center"/>
          </w:tcPr>
          <w:p w14:paraId="0AB16438" w14:textId="77777777" w:rsidR="00501C53" w:rsidRDefault="00501C53">
            <w:pPr>
              <w:keepNext/>
              <w:keepLines/>
              <w:spacing w:after="0" w:line="240" w:lineRule="auto"/>
            </w:pPr>
          </w:p>
        </w:tc>
        <w:tc>
          <w:tcPr>
            <w:tcW w:w="3180" w:type="dxa"/>
            <w:tcMar>
              <w:top w:w="0" w:type="dxa"/>
              <w:bottom w:w="0" w:type="dxa"/>
            </w:tcMar>
            <w:vAlign w:val="center"/>
          </w:tcPr>
          <w:p w14:paraId="0AB16439" w14:textId="77777777" w:rsidR="00501C5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AB1643A" w14:textId="77777777" w:rsidR="00501C53" w:rsidRDefault="00000000">
            <w:pPr>
              <w:keepNext/>
              <w:keepLines/>
              <w:spacing w:after="0" w:line="240" w:lineRule="auto"/>
            </w:pPr>
            <w:r>
              <w:rPr>
                <w:b/>
                <w:sz w:val="18"/>
              </w:rPr>
              <w:t>Y005</w:t>
            </w:r>
          </w:p>
        </w:tc>
        <w:tc>
          <w:tcPr>
            <w:tcW w:w="1860" w:type="dxa"/>
            <w:tcMar>
              <w:top w:w="0" w:type="dxa"/>
              <w:bottom w:w="0" w:type="dxa"/>
            </w:tcMar>
            <w:vAlign w:val="center"/>
          </w:tcPr>
          <w:p w14:paraId="0AB1643B" w14:textId="77777777" w:rsidR="00501C53" w:rsidRDefault="00000000">
            <w:pPr>
              <w:keepNext/>
              <w:keepLines/>
              <w:spacing w:after="0" w:line="240" w:lineRule="auto"/>
              <w:jc w:val="right"/>
            </w:pPr>
            <w:r>
              <w:rPr>
                <w:b/>
                <w:sz w:val="18"/>
              </w:rPr>
              <w:t>18.029,33</w:t>
            </w:r>
          </w:p>
        </w:tc>
        <w:tc>
          <w:tcPr>
            <w:tcW w:w="1860" w:type="dxa"/>
            <w:tcMar>
              <w:top w:w="0" w:type="dxa"/>
              <w:bottom w:w="0" w:type="dxa"/>
            </w:tcMar>
            <w:vAlign w:val="center"/>
          </w:tcPr>
          <w:p w14:paraId="0AB1643C" w14:textId="77777777" w:rsidR="00501C53" w:rsidRDefault="00000000">
            <w:pPr>
              <w:keepNext/>
              <w:keepLines/>
              <w:spacing w:after="0" w:line="240" w:lineRule="auto"/>
              <w:jc w:val="right"/>
            </w:pPr>
            <w:r>
              <w:rPr>
                <w:b/>
                <w:sz w:val="18"/>
              </w:rPr>
              <w:t>8.320,17</w:t>
            </w:r>
          </w:p>
        </w:tc>
        <w:tc>
          <w:tcPr>
            <w:tcW w:w="700" w:type="dxa"/>
            <w:tcMar>
              <w:top w:w="0" w:type="dxa"/>
              <w:bottom w:w="0" w:type="dxa"/>
            </w:tcMar>
            <w:vAlign w:val="center"/>
          </w:tcPr>
          <w:p w14:paraId="0AB1643D" w14:textId="77777777" w:rsidR="00501C53" w:rsidRDefault="00000000">
            <w:pPr>
              <w:keepNext/>
              <w:keepLines/>
              <w:spacing w:after="0" w:line="240" w:lineRule="auto"/>
              <w:jc w:val="right"/>
            </w:pPr>
            <w:r>
              <w:rPr>
                <w:b/>
                <w:sz w:val="18"/>
              </w:rPr>
              <w:t>46,1</w:t>
            </w:r>
          </w:p>
        </w:tc>
      </w:tr>
    </w:tbl>
    <w:p w14:paraId="0AB1643F" w14:textId="77777777" w:rsidR="00501C53" w:rsidRDefault="00501C53">
      <w:pPr>
        <w:spacing w:after="0"/>
      </w:pPr>
    </w:p>
    <w:p w14:paraId="0AB16440" w14:textId="77777777" w:rsidR="00501C53" w:rsidRDefault="00000000">
      <w:r>
        <w:rPr>
          <w:b/>
        </w:rPr>
        <w:t>Manjak prihoda poslovanja,</w:t>
      </w:r>
      <w:r>
        <w:t xml:space="preserve"> a koji je iskazan u Financijskom izvještaju za razdoblje 01.01.-31.03.2026</w:t>
      </w:r>
      <w:r>
        <w:rPr>
          <w:b/>
        </w:rPr>
        <w:t xml:space="preserve">. </w:t>
      </w:r>
      <w:r>
        <w:t>zapravo predstavlja metodološki manjak koji je nastao zbog načina knjiženja rashoda i prihoda u sustavu Riznice. Naime rashod se knjiži sukladno dokumentu "Rekapitulacija odobrenih zahtjeva" koji ustanovi dostavlja Ministarstvo i koji dolazi s određenim datumom. Prihodi poslovanja knjiže se po primanju dokumenta "Obavijest o obavljenim plaćanjima" koji isto tako ustanova prima od Ministarstva ali s kasnijim datumom pa se na prijelazu iz jednog obračunskog razdoblja u drugo može dogoditi raskorak između knjiženih Rashoda i Prihoda što je ovdje bio slučaj.</w:t>
      </w:r>
    </w:p>
    <w:p w14:paraId="0AB16441" w14:textId="77777777" w:rsidR="00501C53" w:rsidRDefault="00000000">
      <w:r>
        <w:rPr>
          <w:b/>
        </w:rPr>
        <w:t xml:space="preserve">Manjak prihoda od nefinancijske imovine </w:t>
      </w:r>
      <w:r>
        <w:t xml:space="preserve">isto tako predstavlja metodološki manjak koji je ostvaren iz razloga što Centar Dubrava ne ostvaruje prihode od nefinancijske imovine već rashode za nefinancijsku imovinu pokriva iz prihoda poslovanja stoga su knjiženi samo rashodi za nefinancijsku imovinu. Manjak </w:t>
      </w:r>
      <w:r>
        <w:lastRenderedPageBreak/>
        <w:t>prihoda od nefinancijske imovine koji se pokaže na kraju obračunske godine pokrit će se iz prihoda poslovanja nakon što Računovodstvo primi od Upravnog vijeća Odluku o raspodjeli rezultata.</w:t>
      </w:r>
    </w:p>
    <w:p w14:paraId="0AB16442" w14:textId="77777777" w:rsidR="00501C53" w:rsidRDefault="00000000">
      <w:r>
        <w:br/>
      </w:r>
    </w:p>
    <w:p w14:paraId="0AB16443" w14:textId="77777777" w:rsidR="00501C5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44"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45"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46"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47"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48"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49" w14:textId="77777777" w:rsidR="00501C53" w:rsidRDefault="00000000">
            <w:pPr>
              <w:keepNext/>
              <w:keepLines/>
              <w:spacing w:after="0" w:line="240" w:lineRule="auto"/>
              <w:jc w:val="center"/>
            </w:pPr>
            <w:r>
              <w:rPr>
                <w:b/>
                <w:sz w:val="18"/>
              </w:rPr>
              <w:t>Indeks (%)</w:t>
            </w:r>
          </w:p>
        </w:tc>
      </w:tr>
      <w:tr w:rsidR="00501C53" w14:paraId="0AB16451" w14:textId="77777777">
        <w:tblPrEx>
          <w:tblCellMar>
            <w:top w:w="0" w:type="dxa"/>
            <w:bottom w:w="0" w:type="dxa"/>
          </w:tblCellMar>
        </w:tblPrEx>
        <w:trPr>
          <w:cantSplit/>
          <w:trHeight w:val="560"/>
        </w:trPr>
        <w:tc>
          <w:tcPr>
            <w:tcW w:w="700" w:type="dxa"/>
            <w:tcMar>
              <w:top w:w="0" w:type="dxa"/>
              <w:bottom w:w="0" w:type="dxa"/>
            </w:tcMar>
            <w:vAlign w:val="center"/>
          </w:tcPr>
          <w:p w14:paraId="0AB1644B" w14:textId="77777777" w:rsidR="00501C53" w:rsidRDefault="00000000">
            <w:pPr>
              <w:keepNext/>
              <w:keepLines/>
              <w:spacing w:after="0" w:line="240" w:lineRule="auto"/>
            </w:pPr>
            <w:r>
              <w:rPr>
                <w:sz w:val="18"/>
              </w:rPr>
              <w:t>639</w:t>
            </w:r>
          </w:p>
        </w:tc>
        <w:tc>
          <w:tcPr>
            <w:tcW w:w="3180" w:type="dxa"/>
            <w:tcMar>
              <w:top w:w="0" w:type="dxa"/>
              <w:bottom w:w="0" w:type="dxa"/>
            </w:tcMar>
            <w:vAlign w:val="center"/>
          </w:tcPr>
          <w:p w14:paraId="0AB1644C" w14:textId="77777777" w:rsidR="00501C53"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0AB1644D" w14:textId="77777777" w:rsidR="00501C53" w:rsidRDefault="00000000">
            <w:pPr>
              <w:keepNext/>
              <w:keepLines/>
              <w:spacing w:after="0" w:line="240" w:lineRule="auto"/>
            </w:pPr>
            <w:r>
              <w:rPr>
                <w:sz w:val="18"/>
              </w:rPr>
              <w:t>639</w:t>
            </w:r>
          </w:p>
        </w:tc>
        <w:tc>
          <w:tcPr>
            <w:tcW w:w="1860" w:type="dxa"/>
            <w:tcMar>
              <w:top w:w="0" w:type="dxa"/>
              <w:bottom w:w="0" w:type="dxa"/>
            </w:tcMar>
            <w:vAlign w:val="center"/>
          </w:tcPr>
          <w:p w14:paraId="0AB1644E" w14:textId="77777777" w:rsidR="00501C53" w:rsidRDefault="00000000">
            <w:pPr>
              <w:keepNext/>
              <w:keepLines/>
              <w:spacing w:after="0" w:line="240" w:lineRule="auto"/>
              <w:jc w:val="right"/>
            </w:pPr>
            <w:r>
              <w:rPr>
                <w:sz w:val="18"/>
              </w:rPr>
              <w:t>34.857,82</w:t>
            </w:r>
          </w:p>
        </w:tc>
        <w:tc>
          <w:tcPr>
            <w:tcW w:w="1860" w:type="dxa"/>
            <w:tcMar>
              <w:top w:w="0" w:type="dxa"/>
              <w:bottom w:w="0" w:type="dxa"/>
            </w:tcMar>
            <w:vAlign w:val="center"/>
          </w:tcPr>
          <w:p w14:paraId="0AB1644F" w14:textId="77777777" w:rsidR="00501C53" w:rsidRDefault="00000000">
            <w:pPr>
              <w:keepNext/>
              <w:keepLines/>
              <w:spacing w:after="0" w:line="240" w:lineRule="auto"/>
              <w:jc w:val="right"/>
            </w:pPr>
            <w:r>
              <w:rPr>
                <w:sz w:val="18"/>
              </w:rPr>
              <w:t>24.867,40</w:t>
            </w:r>
          </w:p>
        </w:tc>
        <w:tc>
          <w:tcPr>
            <w:tcW w:w="700" w:type="dxa"/>
            <w:tcMar>
              <w:top w:w="0" w:type="dxa"/>
              <w:bottom w:w="0" w:type="dxa"/>
            </w:tcMar>
            <w:vAlign w:val="center"/>
          </w:tcPr>
          <w:p w14:paraId="0AB16450" w14:textId="77777777" w:rsidR="00501C53" w:rsidRDefault="00000000">
            <w:pPr>
              <w:keepNext/>
              <w:keepLines/>
              <w:spacing w:after="0" w:line="240" w:lineRule="auto"/>
              <w:jc w:val="right"/>
            </w:pPr>
            <w:r>
              <w:rPr>
                <w:sz w:val="18"/>
              </w:rPr>
              <w:t>71,3</w:t>
            </w:r>
          </w:p>
        </w:tc>
      </w:tr>
    </w:tbl>
    <w:p w14:paraId="0AB16452" w14:textId="77777777" w:rsidR="00501C53" w:rsidRDefault="00501C53">
      <w:pPr>
        <w:spacing w:after="0"/>
      </w:pPr>
    </w:p>
    <w:p w14:paraId="0AB16453" w14:textId="77777777" w:rsidR="00501C53" w:rsidRDefault="00000000">
      <w:r>
        <w:t>Na početku 2025. godine od strane Ministarstva znanosti i obrazovanja uplaćena nam je naknada za prijevoz učenika koja se odnosi na  10/2024 i 11/2024. dok nam početkom 2026. godine nisu uplaćivani zaostaci iz prethodnih razdoblja.</w:t>
      </w:r>
    </w:p>
    <w:p w14:paraId="0AB16454" w14:textId="77777777" w:rsidR="00501C53" w:rsidRDefault="00501C53"/>
    <w:p w14:paraId="0AB16455" w14:textId="77777777" w:rsidR="00501C5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56"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57"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58"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59"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5A"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5B" w14:textId="77777777" w:rsidR="00501C53" w:rsidRDefault="00000000">
            <w:pPr>
              <w:keepNext/>
              <w:keepLines/>
              <w:spacing w:after="0" w:line="240" w:lineRule="auto"/>
              <w:jc w:val="center"/>
            </w:pPr>
            <w:r>
              <w:rPr>
                <w:b/>
                <w:sz w:val="18"/>
              </w:rPr>
              <w:t>Indeks (%)</w:t>
            </w:r>
          </w:p>
        </w:tc>
      </w:tr>
      <w:tr w:rsidR="00501C53" w14:paraId="0AB16463" w14:textId="77777777">
        <w:tblPrEx>
          <w:tblCellMar>
            <w:top w:w="0" w:type="dxa"/>
            <w:bottom w:w="0" w:type="dxa"/>
          </w:tblCellMar>
        </w:tblPrEx>
        <w:trPr>
          <w:cantSplit/>
          <w:trHeight w:val="560"/>
        </w:trPr>
        <w:tc>
          <w:tcPr>
            <w:tcW w:w="700" w:type="dxa"/>
            <w:tcMar>
              <w:top w:w="0" w:type="dxa"/>
              <w:bottom w:w="0" w:type="dxa"/>
            </w:tcMar>
            <w:vAlign w:val="center"/>
          </w:tcPr>
          <w:p w14:paraId="0AB1645D" w14:textId="77777777" w:rsidR="00501C53" w:rsidRDefault="00000000">
            <w:pPr>
              <w:keepNext/>
              <w:keepLines/>
              <w:spacing w:after="0" w:line="240" w:lineRule="auto"/>
            </w:pPr>
            <w:r>
              <w:rPr>
                <w:sz w:val="18"/>
              </w:rPr>
              <w:t>652</w:t>
            </w:r>
          </w:p>
        </w:tc>
        <w:tc>
          <w:tcPr>
            <w:tcW w:w="3180" w:type="dxa"/>
            <w:tcMar>
              <w:top w:w="0" w:type="dxa"/>
              <w:bottom w:w="0" w:type="dxa"/>
            </w:tcMar>
            <w:vAlign w:val="center"/>
          </w:tcPr>
          <w:p w14:paraId="0AB1645E" w14:textId="77777777" w:rsidR="00501C53"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0AB1645F" w14:textId="77777777" w:rsidR="00501C53" w:rsidRDefault="00000000">
            <w:pPr>
              <w:keepNext/>
              <w:keepLines/>
              <w:spacing w:after="0" w:line="240" w:lineRule="auto"/>
            </w:pPr>
            <w:r>
              <w:rPr>
                <w:sz w:val="18"/>
              </w:rPr>
              <w:t>652</w:t>
            </w:r>
          </w:p>
        </w:tc>
        <w:tc>
          <w:tcPr>
            <w:tcW w:w="1860" w:type="dxa"/>
            <w:tcMar>
              <w:top w:w="0" w:type="dxa"/>
              <w:bottom w:w="0" w:type="dxa"/>
            </w:tcMar>
            <w:vAlign w:val="center"/>
          </w:tcPr>
          <w:p w14:paraId="0AB16460" w14:textId="77777777" w:rsidR="00501C53" w:rsidRDefault="00000000">
            <w:pPr>
              <w:keepNext/>
              <w:keepLines/>
              <w:spacing w:after="0" w:line="240" w:lineRule="auto"/>
              <w:jc w:val="right"/>
            </w:pPr>
            <w:r>
              <w:rPr>
                <w:sz w:val="18"/>
              </w:rPr>
              <w:t>3.812,32</w:t>
            </w:r>
          </w:p>
        </w:tc>
        <w:tc>
          <w:tcPr>
            <w:tcW w:w="1860" w:type="dxa"/>
            <w:tcMar>
              <w:top w:w="0" w:type="dxa"/>
              <w:bottom w:w="0" w:type="dxa"/>
            </w:tcMar>
            <w:vAlign w:val="center"/>
          </w:tcPr>
          <w:p w14:paraId="0AB16461" w14:textId="77777777" w:rsidR="00501C53" w:rsidRDefault="00000000">
            <w:pPr>
              <w:keepNext/>
              <w:keepLines/>
              <w:spacing w:after="0" w:line="240" w:lineRule="auto"/>
              <w:jc w:val="right"/>
            </w:pPr>
            <w:r>
              <w:rPr>
                <w:sz w:val="18"/>
              </w:rPr>
              <w:t>2.730,94</w:t>
            </w:r>
          </w:p>
        </w:tc>
        <w:tc>
          <w:tcPr>
            <w:tcW w:w="700" w:type="dxa"/>
            <w:tcMar>
              <w:top w:w="0" w:type="dxa"/>
              <w:bottom w:w="0" w:type="dxa"/>
            </w:tcMar>
            <w:vAlign w:val="center"/>
          </w:tcPr>
          <w:p w14:paraId="0AB16462" w14:textId="77777777" w:rsidR="00501C53" w:rsidRDefault="00000000">
            <w:pPr>
              <w:keepNext/>
              <w:keepLines/>
              <w:spacing w:after="0" w:line="240" w:lineRule="auto"/>
              <w:jc w:val="right"/>
            </w:pPr>
            <w:r>
              <w:rPr>
                <w:sz w:val="18"/>
              </w:rPr>
              <w:t>71,6</w:t>
            </w:r>
          </w:p>
        </w:tc>
      </w:tr>
    </w:tbl>
    <w:p w14:paraId="0AB16464" w14:textId="77777777" w:rsidR="00501C53" w:rsidRDefault="00501C53">
      <w:pPr>
        <w:spacing w:after="0"/>
      </w:pPr>
    </w:p>
    <w:p w14:paraId="0AB16465" w14:textId="77777777" w:rsidR="00501C53" w:rsidRDefault="00000000">
      <w:r>
        <w:t>Na ovom računu ostvaren je značajno manji prihod nego u istom obračunskom razdoblju 2025.g. zbog toga što Centar Dubrava ove školske godine (2025/2026) nije slao roditeljima račune za participaciju zbog nejasnog tumačenja propisa koji reguliraju to područje, a sukladno tome roditelji nisu uplaćivali participacije.</w:t>
      </w:r>
    </w:p>
    <w:p w14:paraId="0AB16466" w14:textId="77777777" w:rsidR="00501C53" w:rsidRDefault="00501C53"/>
    <w:p w14:paraId="0AB16467" w14:textId="77777777" w:rsidR="00501C5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68"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69"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6A"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6B"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6C"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6D" w14:textId="77777777" w:rsidR="00501C53" w:rsidRDefault="00000000">
            <w:pPr>
              <w:keepNext/>
              <w:keepLines/>
              <w:spacing w:after="0" w:line="240" w:lineRule="auto"/>
              <w:jc w:val="center"/>
            </w:pPr>
            <w:r>
              <w:rPr>
                <w:b/>
                <w:sz w:val="18"/>
              </w:rPr>
              <w:t>Indeks (%)</w:t>
            </w:r>
          </w:p>
        </w:tc>
      </w:tr>
      <w:tr w:rsidR="00501C53" w14:paraId="0AB16475" w14:textId="77777777">
        <w:tblPrEx>
          <w:tblCellMar>
            <w:top w:w="0" w:type="dxa"/>
            <w:bottom w:w="0" w:type="dxa"/>
          </w:tblCellMar>
        </w:tblPrEx>
        <w:trPr>
          <w:cantSplit/>
          <w:trHeight w:val="560"/>
        </w:trPr>
        <w:tc>
          <w:tcPr>
            <w:tcW w:w="700" w:type="dxa"/>
            <w:tcMar>
              <w:top w:w="0" w:type="dxa"/>
              <w:bottom w:w="0" w:type="dxa"/>
            </w:tcMar>
            <w:vAlign w:val="center"/>
          </w:tcPr>
          <w:p w14:paraId="0AB1646F" w14:textId="77777777" w:rsidR="00501C53" w:rsidRDefault="00000000">
            <w:pPr>
              <w:keepNext/>
              <w:keepLines/>
              <w:spacing w:after="0" w:line="240" w:lineRule="auto"/>
            </w:pPr>
            <w:r>
              <w:rPr>
                <w:sz w:val="18"/>
              </w:rPr>
              <w:t>661</w:t>
            </w:r>
          </w:p>
        </w:tc>
        <w:tc>
          <w:tcPr>
            <w:tcW w:w="3180" w:type="dxa"/>
            <w:tcMar>
              <w:top w:w="0" w:type="dxa"/>
              <w:bottom w:w="0" w:type="dxa"/>
            </w:tcMar>
            <w:vAlign w:val="center"/>
          </w:tcPr>
          <w:p w14:paraId="0AB16470" w14:textId="77777777" w:rsidR="00501C53"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0AB16471" w14:textId="77777777" w:rsidR="00501C53" w:rsidRDefault="00000000">
            <w:pPr>
              <w:keepNext/>
              <w:keepLines/>
              <w:spacing w:after="0" w:line="240" w:lineRule="auto"/>
            </w:pPr>
            <w:r>
              <w:rPr>
                <w:sz w:val="18"/>
              </w:rPr>
              <w:t>661</w:t>
            </w:r>
          </w:p>
        </w:tc>
        <w:tc>
          <w:tcPr>
            <w:tcW w:w="1860" w:type="dxa"/>
            <w:tcMar>
              <w:top w:w="0" w:type="dxa"/>
              <w:bottom w:w="0" w:type="dxa"/>
            </w:tcMar>
            <w:vAlign w:val="center"/>
          </w:tcPr>
          <w:p w14:paraId="0AB16472" w14:textId="77777777" w:rsidR="00501C53" w:rsidRDefault="00000000">
            <w:pPr>
              <w:keepNext/>
              <w:keepLines/>
              <w:spacing w:after="0" w:line="240" w:lineRule="auto"/>
              <w:jc w:val="right"/>
            </w:pPr>
            <w:r>
              <w:rPr>
                <w:sz w:val="18"/>
              </w:rPr>
              <w:t>2.402,18</w:t>
            </w:r>
          </w:p>
        </w:tc>
        <w:tc>
          <w:tcPr>
            <w:tcW w:w="1860" w:type="dxa"/>
            <w:tcMar>
              <w:top w:w="0" w:type="dxa"/>
              <w:bottom w:w="0" w:type="dxa"/>
            </w:tcMar>
            <w:vAlign w:val="center"/>
          </w:tcPr>
          <w:p w14:paraId="0AB16473" w14:textId="77777777" w:rsidR="00501C53" w:rsidRDefault="00000000">
            <w:pPr>
              <w:keepNext/>
              <w:keepLines/>
              <w:spacing w:after="0" w:line="240" w:lineRule="auto"/>
              <w:jc w:val="right"/>
            </w:pPr>
            <w:r>
              <w:rPr>
                <w:sz w:val="18"/>
              </w:rPr>
              <w:t>1.665,35</w:t>
            </w:r>
          </w:p>
        </w:tc>
        <w:tc>
          <w:tcPr>
            <w:tcW w:w="700" w:type="dxa"/>
            <w:tcMar>
              <w:top w:w="0" w:type="dxa"/>
              <w:bottom w:w="0" w:type="dxa"/>
            </w:tcMar>
            <w:vAlign w:val="center"/>
          </w:tcPr>
          <w:p w14:paraId="0AB16474" w14:textId="77777777" w:rsidR="00501C53" w:rsidRDefault="00000000">
            <w:pPr>
              <w:keepNext/>
              <w:keepLines/>
              <w:spacing w:after="0" w:line="240" w:lineRule="auto"/>
              <w:jc w:val="right"/>
            </w:pPr>
            <w:r>
              <w:rPr>
                <w:sz w:val="18"/>
              </w:rPr>
              <w:t>69,3</w:t>
            </w:r>
          </w:p>
        </w:tc>
      </w:tr>
    </w:tbl>
    <w:p w14:paraId="0AB16476" w14:textId="77777777" w:rsidR="00501C53" w:rsidRDefault="00501C53">
      <w:pPr>
        <w:spacing w:after="0"/>
      </w:pPr>
    </w:p>
    <w:p w14:paraId="0AB16477" w14:textId="77777777" w:rsidR="00501C53" w:rsidRDefault="00000000">
      <w:r>
        <w:t>Na ovom računu iskazan je manji prihod iz razloga što je u istom obračunskom razdoblju 2025.g. ostvaren prihod od učeničke zadruge, a u ovom obračunskom razdoblju 2026.g. prihoda po to osnovi nije bilo.</w:t>
      </w:r>
    </w:p>
    <w:p w14:paraId="0AB16478" w14:textId="77777777" w:rsidR="00501C53" w:rsidRDefault="00501C53"/>
    <w:p w14:paraId="0AB16479" w14:textId="77777777" w:rsidR="00501C5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7A"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7B"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7C"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7D"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7E"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7F" w14:textId="77777777" w:rsidR="00501C53" w:rsidRDefault="00000000">
            <w:pPr>
              <w:keepNext/>
              <w:keepLines/>
              <w:spacing w:after="0" w:line="240" w:lineRule="auto"/>
              <w:jc w:val="center"/>
            </w:pPr>
            <w:r>
              <w:rPr>
                <w:b/>
                <w:sz w:val="18"/>
              </w:rPr>
              <w:t>Indeks (%)</w:t>
            </w:r>
          </w:p>
        </w:tc>
      </w:tr>
      <w:tr w:rsidR="00501C53" w14:paraId="0AB16487" w14:textId="77777777">
        <w:tblPrEx>
          <w:tblCellMar>
            <w:top w:w="0" w:type="dxa"/>
            <w:bottom w:w="0" w:type="dxa"/>
          </w:tblCellMar>
        </w:tblPrEx>
        <w:trPr>
          <w:cantSplit/>
          <w:trHeight w:val="560"/>
        </w:trPr>
        <w:tc>
          <w:tcPr>
            <w:tcW w:w="700" w:type="dxa"/>
            <w:tcMar>
              <w:top w:w="0" w:type="dxa"/>
              <w:bottom w:w="0" w:type="dxa"/>
            </w:tcMar>
            <w:vAlign w:val="center"/>
          </w:tcPr>
          <w:p w14:paraId="0AB16481" w14:textId="77777777" w:rsidR="00501C53" w:rsidRDefault="00000000">
            <w:pPr>
              <w:keepNext/>
              <w:keepLines/>
              <w:spacing w:after="0" w:line="240" w:lineRule="auto"/>
            </w:pPr>
            <w:r>
              <w:rPr>
                <w:sz w:val="18"/>
              </w:rPr>
              <w:t>663</w:t>
            </w:r>
          </w:p>
        </w:tc>
        <w:tc>
          <w:tcPr>
            <w:tcW w:w="3180" w:type="dxa"/>
            <w:tcMar>
              <w:top w:w="0" w:type="dxa"/>
              <w:bottom w:w="0" w:type="dxa"/>
            </w:tcMar>
            <w:vAlign w:val="center"/>
          </w:tcPr>
          <w:p w14:paraId="0AB16482" w14:textId="77777777" w:rsidR="00501C53"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AB16483" w14:textId="77777777" w:rsidR="00501C53" w:rsidRDefault="00000000">
            <w:pPr>
              <w:keepNext/>
              <w:keepLines/>
              <w:spacing w:after="0" w:line="240" w:lineRule="auto"/>
            </w:pPr>
            <w:r>
              <w:rPr>
                <w:sz w:val="18"/>
              </w:rPr>
              <w:t>663</w:t>
            </w:r>
          </w:p>
        </w:tc>
        <w:tc>
          <w:tcPr>
            <w:tcW w:w="1860" w:type="dxa"/>
            <w:tcMar>
              <w:top w:w="0" w:type="dxa"/>
              <w:bottom w:w="0" w:type="dxa"/>
            </w:tcMar>
            <w:vAlign w:val="center"/>
          </w:tcPr>
          <w:p w14:paraId="0AB16484" w14:textId="77777777" w:rsidR="00501C53" w:rsidRDefault="00000000">
            <w:pPr>
              <w:keepNext/>
              <w:keepLines/>
              <w:spacing w:after="0" w:line="240" w:lineRule="auto"/>
              <w:jc w:val="right"/>
            </w:pPr>
            <w:r>
              <w:rPr>
                <w:sz w:val="18"/>
              </w:rPr>
              <w:t>14.600,00</w:t>
            </w:r>
          </w:p>
        </w:tc>
        <w:tc>
          <w:tcPr>
            <w:tcW w:w="1860" w:type="dxa"/>
            <w:tcMar>
              <w:top w:w="0" w:type="dxa"/>
              <w:bottom w:w="0" w:type="dxa"/>
            </w:tcMar>
            <w:vAlign w:val="center"/>
          </w:tcPr>
          <w:p w14:paraId="0AB16485" w14:textId="77777777" w:rsidR="00501C53" w:rsidRDefault="00000000">
            <w:pPr>
              <w:keepNext/>
              <w:keepLines/>
              <w:spacing w:after="0" w:line="240" w:lineRule="auto"/>
              <w:jc w:val="right"/>
            </w:pPr>
            <w:r>
              <w:rPr>
                <w:sz w:val="18"/>
              </w:rPr>
              <w:t>11.000,00</w:t>
            </w:r>
          </w:p>
        </w:tc>
        <w:tc>
          <w:tcPr>
            <w:tcW w:w="700" w:type="dxa"/>
            <w:tcMar>
              <w:top w:w="0" w:type="dxa"/>
              <w:bottom w:w="0" w:type="dxa"/>
            </w:tcMar>
            <w:vAlign w:val="center"/>
          </w:tcPr>
          <w:p w14:paraId="0AB16486" w14:textId="77777777" w:rsidR="00501C53" w:rsidRDefault="00000000">
            <w:pPr>
              <w:keepNext/>
              <w:keepLines/>
              <w:spacing w:after="0" w:line="240" w:lineRule="auto"/>
              <w:jc w:val="right"/>
            </w:pPr>
            <w:r>
              <w:rPr>
                <w:sz w:val="18"/>
              </w:rPr>
              <w:t>75,3</w:t>
            </w:r>
          </w:p>
        </w:tc>
      </w:tr>
    </w:tbl>
    <w:p w14:paraId="0AB16488" w14:textId="77777777" w:rsidR="00501C53" w:rsidRDefault="00501C53">
      <w:pPr>
        <w:spacing w:after="0"/>
      </w:pPr>
    </w:p>
    <w:p w14:paraId="0AB16489" w14:textId="3E509856" w:rsidR="00501C53" w:rsidRDefault="00000000">
      <w:r>
        <w:lastRenderedPageBreak/>
        <w:t>Prihod na ovom računu iskazan je u manjem iznosu nego u istom obračunskom razdoblju 2025.g. iz raz</w:t>
      </w:r>
      <w:r w:rsidR="00BB6DC4">
        <w:t>l</w:t>
      </w:r>
      <w:r>
        <w:t>oga što je ustanova ove godine primila manje donacija nego u 2025.-oj godini.</w:t>
      </w:r>
    </w:p>
    <w:p w14:paraId="0AB1648A" w14:textId="77777777" w:rsidR="00501C53" w:rsidRDefault="00501C53"/>
    <w:p w14:paraId="0AB1648B" w14:textId="77777777" w:rsidR="00501C5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8C"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8D"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8E"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8F"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90"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91" w14:textId="77777777" w:rsidR="00501C53" w:rsidRDefault="00000000">
            <w:pPr>
              <w:keepNext/>
              <w:keepLines/>
              <w:spacing w:after="0" w:line="240" w:lineRule="auto"/>
              <w:jc w:val="center"/>
            </w:pPr>
            <w:r>
              <w:rPr>
                <w:b/>
                <w:sz w:val="18"/>
              </w:rPr>
              <w:t>Indeks (%)</w:t>
            </w:r>
          </w:p>
        </w:tc>
      </w:tr>
      <w:tr w:rsidR="00501C53" w14:paraId="0AB16499" w14:textId="77777777">
        <w:tblPrEx>
          <w:tblCellMar>
            <w:top w:w="0" w:type="dxa"/>
            <w:bottom w:w="0" w:type="dxa"/>
          </w:tblCellMar>
        </w:tblPrEx>
        <w:trPr>
          <w:cantSplit/>
          <w:trHeight w:val="560"/>
        </w:trPr>
        <w:tc>
          <w:tcPr>
            <w:tcW w:w="700" w:type="dxa"/>
            <w:tcMar>
              <w:top w:w="0" w:type="dxa"/>
              <w:bottom w:w="0" w:type="dxa"/>
            </w:tcMar>
            <w:vAlign w:val="center"/>
          </w:tcPr>
          <w:p w14:paraId="0AB16493" w14:textId="77777777" w:rsidR="00501C53" w:rsidRDefault="00000000">
            <w:pPr>
              <w:keepNext/>
              <w:keepLines/>
              <w:spacing w:after="0" w:line="240" w:lineRule="auto"/>
            </w:pPr>
            <w:r>
              <w:rPr>
                <w:sz w:val="18"/>
              </w:rPr>
              <w:t>3113</w:t>
            </w:r>
          </w:p>
        </w:tc>
        <w:tc>
          <w:tcPr>
            <w:tcW w:w="3180" w:type="dxa"/>
            <w:tcMar>
              <w:top w:w="0" w:type="dxa"/>
              <w:bottom w:w="0" w:type="dxa"/>
            </w:tcMar>
            <w:vAlign w:val="center"/>
          </w:tcPr>
          <w:p w14:paraId="0AB16494" w14:textId="77777777" w:rsidR="00501C53" w:rsidRDefault="00000000">
            <w:pPr>
              <w:keepNext/>
              <w:keepLines/>
              <w:spacing w:after="0" w:line="240" w:lineRule="auto"/>
            </w:pPr>
            <w:r>
              <w:rPr>
                <w:sz w:val="18"/>
              </w:rPr>
              <w:t>Plaće za prekovremeni rad</w:t>
            </w:r>
          </w:p>
        </w:tc>
        <w:tc>
          <w:tcPr>
            <w:tcW w:w="700" w:type="dxa"/>
            <w:tcMar>
              <w:top w:w="0" w:type="dxa"/>
              <w:bottom w:w="0" w:type="dxa"/>
            </w:tcMar>
            <w:vAlign w:val="center"/>
          </w:tcPr>
          <w:p w14:paraId="0AB16495" w14:textId="77777777" w:rsidR="00501C53" w:rsidRDefault="00000000">
            <w:pPr>
              <w:keepNext/>
              <w:keepLines/>
              <w:spacing w:after="0" w:line="240" w:lineRule="auto"/>
            </w:pPr>
            <w:r>
              <w:rPr>
                <w:sz w:val="18"/>
              </w:rPr>
              <w:t>3113</w:t>
            </w:r>
          </w:p>
        </w:tc>
        <w:tc>
          <w:tcPr>
            <w:tcW w:w="1860" w:type="dxa"/>
            <w:tcMar>
              <w:top w:w="0" w:type="dxa"/>
              <w:bottom w:w="0" w:type="dxa"/>
            </w:tcMar>
            <w:vAlign w:val="center"/>
          </w:tcPr>
          <w:p w14:paraId="0AB16496" w14:textId="77777777" w:rsidR="00501C53" w:rsidRDefault="00000000">
            <w:pPr>
              <w:keepNext/>
              <w:keepLines/>
              <w:spacing w:after="0" w:line="240" w:lineRule="auto"/>
              <w:jc w:val="right"/>
            </w:pPr>
            <w:r>
              <w:rPr>
                <w:sz w:val="18"/>
              </w:rPr>
              <w:t>16.956,40</w:t>
            </w:r>
          </w:p>
        </w:tc>
        <w:tc>
          <w:tcPr>
            <w:tcW w:w="1860" w:type="dxa"/>
            <w:tcMar>
              <w:top w:w="0" w:type="dxa"/>
              <w:bottom w:w="0" w:type="dxa"/>
            </w:tcMar>
            <w:vAlign w:val="center"/>
          </w:tcPr>
          <w:p w14:paraId="0AB16497" w14:textId="77777777" w:rsidR="00501C53" w:rsidRDefault="00000000">
            <w:pPr>
              <w:keepNext/>
              <w:keepLines/>
              <w:spacing w:after="0" w:line="240" w:lineRule="auto"/>
              <w:jc w:val="right"/>
            </w:pPr>
            <w:r>
              <w:rPr>
                <w:sz w:val="18"/>
              </w:rPr>
              <w:t>48.176,90</w:t>
            </w:r>
          </w:p>
        </w:tc>
        <w:tc>
          <w:tcPr>
            <w:tcW w:w="700" w:type="dxa"/>
            <w:tcMar>
              <w:top w:w="0" w:type="dxa"/>
              <w:bottom w:w="0" w:type="dxa"/>
            </w:tcMar>
            <w:vAlign w:val="center"/>
          </w:tcPr>
          <w:p w14:paraId="0AB16498" w14:textId="77777777" w:rsidR="00501C53" w:rsidRDefault="00000000">
            <w:pPr>
              <w:keepNext/>
              <w:keepLines/>
              <w:spacing w:after="0" w:line="240" w:lineRule="auto"/>
              <w:jc w:val="right"/>
            </w:pPr>
            <w:r>
              <w:rPr>
                <w:sz w:val="18"/>
              </w:rPr>
              <w:t>284,1</w:t>
            </w:r>
          </w:p>
        </w:tc>
      </w:tr>
    </w:tbl>
    <w:p w14:paraId="0AB1649A" w14:textId="77777777" w:rsidR="00501C53" w:rsidRDefault="00501C53">
      <w:pPr>
        <w:spacing w:after="0"/>
      </w:pPr>
    </w:p>
    <w:p w14:paraId="0AB1649B" w14:textId="77777777" w:rsidR="00501C53" w:rsidRDefault="00000000">
      <w:r>
        <w:t>Na ovom računu ostvaren je značajno veći rashod nego u istom obračunskom razdoblju 2025.g. zbog povećanog broja bolovanja i odlaska djelatnika iz ustanove (otkazi ,mirovina i dr.)</w:t>
      </w:r>
    </w:p>
    <w:p w14:paraId="0AB1649C" w14:textId="77777777" w:rsidR="00501C53" w:rsidRDefault="00501C53"/>
    <w:p w14:paraId="0AB1649D" w14:textId="77777777" w:rsidR="00501C5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9E"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9F"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A0"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A1"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A2"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A3" w14:textId="77777777" w:rsidR="00501C53" w:rsidRDefault="00000000">
            <w:pPr>
              <w:keepNext/>
              <w:keepLines/>
              <w:spacing w:after="0" w:line="240" w:lineRule="auto"/>
              <w:jc w:val="center"/>
            </w:pPr>
            <w:r>
              <w:rPr>
                <w:b/>
                <w:sz w:val="18"/>
              </w:rPr>
              <w:t>Indeks (%)</w:t>
            </w:r>
          </w:p>
        </w:tc>
      </w:tr>
      <w:tr w:rsidR="00501C53" w14:paraId="0AB164AB" w14:textId="77777777">
        <w:tblPrEx>
          <w:tblCellMar>
            <w:top w:w="0" w:type="dxa"/>
            <w:bottom w:w="0" w:type="dxa"/>
          </w:tblCellMar>
        </w:tblPrEx>
        <w:trPr>
          <w:cantSplit/>
          <w:trHeight w:val="560"/>
        </w:trPr>
        <w:tc>
          <w:tcPr>
            <w:tcW w:w="700" w:type="dxa"/>
            <w:tcMar>
              <w:top w:w="0" w:type="dxa"/>
              <w:bottom w:w="0" w:type="dxa"/>
            </w:tcMar>
            <w:vAlign w:val="center"/>
          </w:tcPr>
          <w:p w14:paraId="0AB164A5" w14:textId="77777777" w:rsidR="00501C53" w:rsidRDefault="00000000">
            <w:pPr>
              <w:keepNext/>
              <w:keepLines/>
              <w:spacing w:after="0" w:line="240" w:lineRule="auto"/>
            </w:pPr>
            <w:r>
              <w:rPr>
                <w:sz w:val="18"/>
              </w:rPr>
              <w:t>312</w:t>
            </w:r>
          </w:p>
        </w:tc>
        <w:tc>
          <w:tcPr>
            <w:tcW w:w="3180" w:type="dxa"/>
            <w:tcMar>
              <w:top w:w="0" w:type="dxa"/>
              <w:bottom w:w="0" w:type="dxa"/>
            </w:tcMar>
            <w:vAlign w:val="center"/>
          </w:tcPr>
          <w:p w14:paraId="0AB164A6" w14:textId="77777777" w:rsidR="00501C53"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AB164A7" w14:textId="77777777" w:rsidR="00501C53" w:rsidRDefault="00000000">
            <w:pPr>
              <w:keepNext/>
              <w:keepLines/>
              <w:spacing w:after="0" w:line="240" w:lineRule="auto"/>
            </w:pPr>
            <w:r>
              <w:rPr>
                <w:sz w:val="18"/>
              </w:rPr>
              <w:t>312</w:t>
            </w:r>
          </w:p>
        </w:tc>
        <w:tc>
          <w:tcPr>
            <w:tcW w:w="1860" w:type="dxa"/>
            <w:tcMar>
              <w:top w:w="0" w:type="dxa"/>
              <w:bottom w:w="0" w:type="dxa"/>
            </w:tcMar>
            <w:vAlign w:val="center"/>
          </w:tcPr>
          <w:p w14:paraId="0AB164A8" w14:textId="77777777" w:rsidR="00501C53" w:rsidRDefault="00000000">
            <w:pPr>
              <w:keepNext/>
              <w:keepLines/>
              <w:spacing w:after="0" w:line="240" w:lineRule="auto"/>
              <w:jc w:val="right"/>
            </w:pPr>
            <w:r>
              <w:rPr>
                <w:sz w:val="18"/>
              </w:rPr>
              <w:t>8.726,85</w:t>
            </w:r>
          </w:p>
        </w:tc>
        <w:tc>
          <w:tcPr>
            <w:tcW w:w="1860" w:type="dxa"/>
            <w:tcMar>
              <w:top w:w="0" w:type="dxa"/>
              <w:bottom w:w="0" w:type="dxa"/>
            </w:tcMar>
            <w:vAlign w:val="center"/>
          </w:tcPr>
          <w:p w14:paraId="0AB164A9" w14:textId="77777777" w:rsidR="00501C53" w:rsidRDefault="00000000">
            <w:pPr>
              <w:keepNext/>
              <w:keepLines/>
              <w:spacing w:after="0" w:line="240" w:lineRule="auto"/>
              <w:jc w:val="right"/>
            </w:pPr>
            <w:r>
              <w:rPr>
                <w:sz w:val="18"/>
              </w:rPr>
              <w:t>12.278,77</w:t>
            </w:r>
          </w:p>
        </w:tc>
        <w:tc>
          <w:tcPr>
            <w:tcW w:w="700" w:type="dxa"/>
            <w:tcMar>
              <w:top w:w="0" w:type="dxa"/>
              <w:bottom w:w="0" w:type="dxa"/>
            </w:tcMar>
            <w:vAlign w:val="center"/>
          </w:tcPr>
          <w:p w14:paraId="0AB164AA" w14:textId="77777777" w:rsidR="00501C53" w:rsidRDefault="00000000">
            <w:pPr>
              <w:keepNext/>
              <w:keepLines/>
              <w:spacing w:after="0" w:line="240" w:lineRule="auto"/>
              <w:jc w:val="right"/>
            </w:pPr>
            <w:r>
              <w:rPr>
                <w:sz w:val="18"/>
              </w:rPr>
              <w:t>140,7</w:t>
            </w:r>
          </w:p>
        </w:tc>
      </w:tr>
    </w:tbl>
    <w:p w14:paraId="0AB164AC" w14:textId="77777777" w:rsidR="00501C53" w:rsidRDefault="00501C53">
      <w:pPr>
        <w:spacing w:after="0"/>
      </w:pPr>
    </w:p>
    <w:p w14:paraId="0AB164AD" w14:textId="77777777" w:rsidR="00501C53" w:rsidRDefault="00000000">
      <w:r>
        <w:t>Na ovom računu ostvaren je značajno veći rashod nego u istom obračunskom razdoblju 2025.g. zbog toga što je isplaćeno više otpremnina djelatnicima.</w:t>
      </w:r>
    </w:p>
    <w:p w14:paraId="0AB164AE" w14:textId="77777777" w:rsidR="00501C53" w:rsidRDefault="00501C53"/>
    <w:p w14:paraId="0AB164AF" w14:textId="77777777" w:rsidR="00501C5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B0"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B1"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B2"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B3"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B4"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B5" w14:textId="77777777" w:rsidR="00501C53" w:rsidRDefault="00000000">
            <w:pPr>
              <w:keepNext/>
              <w:keepLines/>
              <w:spacing w:after="0" w:line="240" w:lineRule="auto"/>
              <w:jc w:val="center"/>
            </w:pPr>
            <w:r>
              <w:rPr>
                <w:b/>
                <w:sz w:val="18"/>
              </w:rPr>
              <w:t>Indeks (%)</w:t>
            </w:r>
          </w:p>
        </w:tc>
      </w:tr>
      <w:tr w:rsidR="00501C53" w14:paraId="0AB164BD" w14:textId="77777777">
        <w:tblPrEx>
          <w:tblCellMar>
            <w:top w:w="0" w:type="dxa"/>
            <w:bottom w:w="0" w:type="dxa"/>
          </w:tblCellMar>
        </w:tblPrEx>
        <w:trPr>
          <w:cantSplit/>
          <w:trHeight w:val="560"/>
        </w:trPr>
        <w:tc>
          <w:tcPr>
            <w:tcW w:w="700" w:type="dxa"/>
            <w:tcMar>
              <w:top w:w="0" w:type="dxa"/>
              <w:bottom w:w="0" w:type="dxa"/>
            </w:tcMar>
            <w:vAlign w:val="center"/>
          </w:tcPr>
          <w:p w14:paraId="0AB164B7" w14:textId="77777777" w:rsidR="00501C53" w:rsidRDefault="00000000">
            <w:pPr>
              <w:keepNext/>
              <w:keepLines/>
              <w:spacing w:after="0" w:line="240" w:lineRule="auto"/>
            </w:pPr>
            <w:r>
              <w:rPr>
                <w:sz w:val="18"/>
              </w:rPr>
              <w:t>321</w:t>
            </w:r>
          </w:p>
        </w:tc>
        <w:tc>
          <w:tcPr>
            <w:tcW w:w="3180" w:type="dxa"/>
            <w:tcMar>
              <w:top w:w="0" w:type="dxa"/>
              <w:bottom w:w="0" w:type="dxa"/>
            </w:tcMar>
            <w:vAlign w:val="center"/>
          </w:tcPr>
          <w:p w14:paraId="0AB164B8" w14:textId="77777777" w:rsidR="00501C53"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AB164B9" w14:textId="77777777" w:rsidR="00501C53" w:rsidRDefault="00000000">
            <w:pPr>
              <w:keepNext/>
              <w:keepLines/>
              <w:spacing w:after="0" w:line="240" w:lineRule="auto"/>
            </w:pPr>
            <w:r>
              <w:rPr>
                <w:sz w:val="18"/>
              </w:rPr>
              <w:t>321</w:t>
            </w:r>
          </w:p>
        </w:tc>
        <w:tc>
          <w:tcPr>
            <w:tcW w:w="1860" w:type="dxa"/>
            <w:tcMar>
              <w:top w:w="0" w:type="dxa"/>
              <w:bottom w:w="0" w:type="dxa"/>
            </w:tcMar>
            <w:vAlign w:val="center"/>
          </w:tcPr>
          <w:p w14:paraId="0AB164BA" w14:textId="77777777" w:rsidR="00501C53" w:rsidRDefault="00000000">
            <w:pPr>
              <w:keepNext/>
              <w:keepLines/>
              <w:spacing w:after="0" w:line="240" w:lineRule="auto"/>
              <w:jc w:val="right"/>
            </w:pPr>
            <w:r>
              <w:rPr>
                <w:sz w:val="18"/>
              </w:rPr>
              <w:t>31.331,97</w:t>
            </w:r>
          </w:p>
        </w:tc>
        <w:tc>
          <w:tcPr>
            <w:tcW w:w="1860" w:type="dxa"/>
            <w:tcMar>
              <w:top w:w="0" w:type="dxa"/>
              <w:bottom w:w="0" w:type="dxa"/>
            </w:tcMar>
            <w:vAlign w:val="center"/>
          </w:tcPr>
          <w:p w14:paraId="0AB164BB" w14:textId="77777777" w:rsidR="00501C53" w:rsidRDefault="00000000">
            <w:pPr>
              <w:keepNext/>
              <w:keepLines/>
              <w:spacing w:after="0" w:line="240" w:lineRule="auto"/>
              <w:jc w:val="right"/>
            </w:pPr>
            <w:r>
              <w:rPr>
                <w:sz w:val="18"/>
              </w:rPr>
              <w:t>25.909,79</w:t>
            </w:r>
          </w:p>
        </w:tc>
        <w:tc>
          <w:tcPr>
            <w:tcW w:w="700" w:type="dxa"/>
            <w:tcMar>
              <w:top w:w="0" w:type="dxa"/>
              <w:bottom w:w="0" w:type="dxa"/>
            </w:tcMar>
            <w:vAlign w:val="center"/>
          </w:tcPr>
          <w:p w14:paraId="0AB164BC" w14:textId="77777777" w:rsidR="00501C53" w:rsidRDefault="00000000">
            <w:pPr>
              <w:keepNext/>
              <w:keepLines/>
              <w:spacing w:after="0" w:line="240" w:lineRule="auto"/>
              <w:jc w:val="right"/>
            </w:pPr>
            <w:r>
              <w:rPr>
                <w:sz w:val="18"/>
              </w:rPr>
              <w:t>82,7</w:t>
            </w:r>
          </w:p>
        </w:tc>
      </w:tr>
    </w:tbl>
    <w:p w14:paraId="0AB164BE" w14:textId="77777777" w:rsidR="00501C53" w:rsidRDefault="00501C53">
      <w:pPr>
        <w:spacing w:after="0"/>
      </w:pPr>
    </w:p>
    <w:p w14:paraId="0AB164BF" w14:textId="366D8B68" w:rsidR="00501C53" w:rsidRDefault="00000000">
      <w:r>
        <w:t xml:space="preserve">Na ovom računu ostvaren je značajno manji rashod nego u istom obračunskom razdoblju 2025.g. zbog smanjenog broja </w:t>
      </w:r>
      <w:r w:rsidR="00875D28">
        <w:t>djelatnika</w:t>
      </w:r>
      <w:r>
        <w:t xml:space="preserve"> i povećanog broja bolovanja u 2026.-oj godini.</w:t>
      </w:r>
    </w:p>
    <w:p w14:paraId="0AB164C0" w14:textId="77777777" w:rsidR="00501C53" w:rsidRDefault="00501C53"/>
    <w:p w14:paraId="0AB164C1" w14:textId="77777777" w:rsidR="00501C5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C2"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C3"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C4"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C5"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C6"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C7" w14:textId="77777777" w:rsidR="00501C53" w:rsidRDefault="00000000">
            <w:pPr>
              <w:keepNext/>
              <w:keepLines/>
              <w:spacing w:after="0" w:line="240" w:lineRule="auto"/>
              <w:jc w:val="center"/>
            </w:pPr>
            <w:r>
              <w:rPr>
                <w:b/>
                <w:sz w:val="18"/>
              </w:rPr>
              <w:t>Indeks (%)</w:t>
            </w:r>
          </w:p>
        </w:tc>
      </w:tr>
      <w:tr w:rsidR="00501C53" w14:paraId="0AB164CF" w14:textId="77777777">
        <w:tblPrEx>
          <w:tblCellMar>
            <w:top w:w="0" w:type="dxa"/>
            <w:bottom w:w="0" w:type="dxa"/>
          </w:tblCellMar>
        </w:tblPrEx>
        <w:trPr>
          <w:cantSplit/>
          <w:trHeight w:val="560"/>
        </w:trPr>
        <w:tc>
          <w:tcPr>
            <w:tcW w:w="700" w:type="dxa"/>
            <w:tcMar>
              <w:top w:w="0" w:type="dxa"/>
              <w:bottom w:w="0" w:type="dxa"/>
            </w:tcMar>
            <w:vAlign w:val="center"/>
          </w:tcPr>
          <w:p w14:paraId="0AB164C9" w14:textId="77777777" w:rsidR="00501C53" w:rsidRDefault="00000000">
            <w:pPr>
              <w:keepNext/>
              <w:keepLines/>
              <w:spacing w:after="0" w:line="240" w:lineRule="auto"/>
            </w:pPr>
            <w:r>
              <w:rPr>
                <w:sz w:val="18"/>
              </w:rPr>
              <w:t>322</w:t>
            </w:r>
          </w:p>
        </w:tc>
        <w:tc>
          <w:tcPr>
            <w:tcW w:w="3180" w:type="dxa"/>
            <w:tcMar>
              <w:top w:w="0" w:type="dxa"/>
              <w:bottom w:w="0" w:type="dxa"/>
            </w:tcMar>
            <w:vAlign w:val="center"/>
          </w:tcPr>
          <w:p w14:paraId="0AB164CA" w14:textId="77777777" w:rsidR="00501C53"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0AB164CB" w14:textId="77777777" w:rsidR="00501C53" w:rsidRDefault="00000000">
            <w:pPr>
              <w:keepNext/>
              <w:keepLines/>
              <w:spacing w:after="0" w:line="240" w:lineRule="auto"/>
            </w:pPr>
            <w:r>
              <w:rPr>
                <w:sz w:val="18"/>
              </w:rPr>
              <w:t>322</w:t>
            </w:r>
          </w:p>
        </w:tc>
        <w:tc>
          <w:tcPr>
            <w:tcW w:w="1860" w:type="dxa"/>
            <w:tcMar>
              <w:top w:w="0" w:type="dxa"/>
              <w:bottom w:w="0" w:type="dxa"/>
            </w:tcMar>
            <w:vAlign w:val="center"/>
          </w:tcPr>
          <w:p w14:paraId="0AB164CC" w14:textId="77777777" w:rsidR="00501C53" w:rsidRDefault="00000000">
            <w:pPr>
              <w:keepNext/>
              <w:keepLines/>
              <w:spacing w:after="0" w:line="240" w:lineRule="auto"/>
              <w:jc w:val="right"/>
            </w:pPr>
            <w:r>
              <w:rPr>
                <w:sz w:val="18"/>
              </w:rPr>
              <w:t>61.292,08</w:t>
            </w:r>
          </w:p>
        </w:tc>
        <w:tc>
          <w:tcPr>
            <w:tcW w:w="1860" w:type="dxa"/>
            <w:tcMar>
              <w:top w:w="0" w:type="dxa"/>
              <w:bottom w:w="0" w:type="dxa"/>
            </w:tcMar>
            <w:vAlign w:val="center"/>
          </w:tcPr>
          <w:p w14:paraId="0AB164CD" w14:textId="77777777" w:rsidR="00501C53" w:rsidRDefault="00000000">
            <w:pPr>
              <w:keepNext/>
              <w:keepLines/>
              <w:spacing w:after="0" w:line="240" w:lineRule="auto"/>
              <w:jc w:val="right"/>
            </w:pPr>
            <w:r>
              <w:rPr>
                <w:sz w:val="18"/>
              </w:rPr>
              <w:t>73.686,25</w:t>
            </w:r>
          </w:p>
        </w:tc>
        <w:tc>
          <w:tcPr>
            <w:tcW w:w="700" w:type="dxa"/>
            <w:tcMar>
              <w:top w:w="0" w:type="dxa"/>
              <w:bottom w:w="0" w:type="dxa"/>
            </w:tcMar>
            <w:vAlign w:val="center"/>
          </w:tcPr>
          <w:p w14:paraId="0AB164CE" w14:textId="77777777" w:rsidR="00501C53" w:rsidRDefault="00000000">
            <w:pPr>
              <w:keepNext/>
              <w:keepLines/>
              <w:spacing w:after="0" w:line="240" w:lineRule="auto"/>
              <w:jc w:val="right"/>
            </w:pPr>
            <w:r>
              <w:rPr>
                <w:sz w:val="18"/>
              </w:rPr>
              <w:t>120,2</w:t>
            </w:r>
          </w:p>
        </w:tc>
      </w:tr>
    </w:tbl>
    <w:p w14:paraId="0AB164D0" w14:textId="77777777" w:rsidR="00501C53" w:rsidRDefault="00501C53">
      <w:pPr>
        <w:spacing w:after="0"/>
      </w:pPr>
    </w:p>
    <w:p w14:paraId="0AB164D1" w14:textId="77777777" w:rsidR="00501C53" w:rsidRDefault="00000000">
      <w:r>
        <w:t>Na ovom računu ostvaren je značajno veći rashod nego u istom obračunskom razdoblju 2025.g. zbog toga što je država smanjila postotak subvencije za energiju.</w:t>
      </w:r>
    </w:p>
    <w:p w14:paraId="0AB164D2" w14:textId="77777777" w:rsidR="00501C53" w:rsidRDefault="00501C53"/>
    <w:p w14:paraId="0AB164D3" w14:textId="77777777" w:rsidR="00501C53"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D4"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D5"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D6"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D7"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D8"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D9" w14:textId="77777777" w:rsidR="00501C53" w:rsidRDefault="00000000">
            <w:pPr>
              <w:keepNext/>
              <w:keepLines/>
              <w:spacing w:after="0" w:line="240" w:lineRule="auto"/>
              <w:jc w:val="center"/>
            </w:pPr>
            <w:r>
              <w:rPr>
                <w:b/>
                <w:sz w:val="18"/>
              </w:rPr>
              <w:t>Indeks (%)</w:t>
            </w:r>
          </w:p>
        </w:tc>
      </w:tr>
      <w:tr w:rsidR="00501C53" w14:paraId="0AB164E1" w14:textId="77777777">
        <w:tblPrEx>
          <w:tblCellMar>
            <w:top w:w="0" w:type="dxa"/>
            <w:bottom w:w="0" w:type="dxa"/>
          </w:tblCellMar>
        </w:tblPrEx>
        <w:trPr>
          <w:cantSplit/>
          <w:trHeight w:val="560"/>
        </w:trPr>
        <w:tc>
          <w:tcPr>
            <w:tcW w:w="700" w:type="dxa"/>
            <w:tcMar>
              <w:top w:w="0" w:type="dxa"/>
              <w:bottom w:w="0" w:type="dxa"/>
            </w:tcMar>
            <w:vAlign w:val="center"/>
          </w:tcPr>
          <w:p w14:paraId="0AB164DB" w14:textId="77777777" w:rsidR="00501C53" w:rsidRDefault="00000000">
            <w:pPr>
              <w:keepNext/>
              <w:keepLines/>
              <w:spacing w:after="0" w:line="240" w:lineRule="auto"/>
            </w:pPr>
            <w:r>
              <w:rPr>
                <w:sz w:val="18"/>
              </w:rPr>
              <w:t>3233</w:t>
            </w:r>
          </w:p>
        </w:tc>
        <w:tc>
          <w:tcPr>
            <w:tcW w:w="3180" w:type="dxa"/>
            <w:tcMar>
              <w:top w:w="0" w:type="dxa"/>
              <w:bottom w:w="0" w:type="dxa"/>
            </w:tcMar>
            <w:vAlign w:val="center"/>
          </w:tcPr>
          <w:p w14:paraId="0AB164DC" w14:textId="77777777" w:rsidR="00501C53"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0AB164DD" w14:textId="77777777" w:rsidR="00501C53" w:rsidRDefault="00000000">
            <w:pPr>
              <w:keepNext/>
              <w:keepLines/>
              <w:spacing w:after="0" w:line="240" w:lineRule="auto"/>
            </w:pPr>
            <w:r>
              <w:rPr>
                <w:sz w:val="18"/>
              </w:rPr>
              <w:t>3233</w:t>
            </w:r>
          </w:p>
        </w:tc>
        <w:tc>
          <w:tcPr>
            <w:tcW w:w="1860" w:type="dxa"/>
            <w:tcMar>
              <w:top w:w="0" w:type="dxa"/>
              <w:bottom w:w="0" w:type="dxa"/>
            </w:tcMar>
            <w:vAlign w:val="center"/>
          </w:tcPr>
          <w:p w14:paraId="0AB164DE" w14:textId="77777777" w:rsidR="00501C53" w:rsidRDefault="00000000">
            <w:pPr>
              <w:keepNext/>
              <w:keepLines/>
              <w:spacing w:after="0" w:line="240" w:lineRule="auto"/>
              <w:jc w:val="right"/>
            </w:pPr>
            <w:r>
              <w:rPr>
                <w:sz w:val="18"/>
              </w:rPr>
              <w:t>1.022,96</w:t>
            </w:r>
          </w:p>
        </w:tc>
        <w:tc>
          <w:tcPr>
            <w:tcW w:w="1860" w:type="dxa"/>
            <w:tcMar>
              <w:top w:w="0" w:type="dxa"/>
              <w:bottom w:w="0" w:type="dxa"/>
            </w:tcMar>
            <w:vAlign w:val="center"/>
          </w:tcPr>
          <w:p w14:paraId="0AB164DF" w14:textId="77777777" w:rsidR="00501C53" w:rsidRDefault="00000000">
            <w:pPr>
              <w:keepNext/>
              <w:keepLines/>
              <w:spacing w:after="0" w:line="240" w:lineRule="auto"/>
              <w:jc w:val="right"/>
            </w:pPr>
            <w:r>
              <w:rPr>
                <w:sz w:val="18"/>
              </w:rPr>
              <w:t>2.132,98</w:t>
            </w:r>
          </w:p>
        </w:tc>
        <w:tc>
          <w:tcPr>
            <w:tcW w:w="700" w:type="dxa"/>
            <w:tcMar>
              <w:top w:w="0" w:type="dxa"/>
              <w:bottom w:w="0" w:type="dxa"/>
            </w:tcMar>
            <w:vAlign w:val="center"/>
          </w:tcPr>
          <w:p w14:paraId="0AB164E0" w14:textId="77777777" w:rsidR="00501C53" w:rsidRDefault="00000000">
            <w:pPr>
              <w:keepNext/>
              <w:keepLines/>
              <w:spacing w:after="0" w:line="240" w:lineRule="auto"/>
              <w:jc w:val="right"/>
            </w:pPr>
            <w:r>
              <w:rPr>
                <w:sz w:val="18"/>
              </w:rPr>
              <w:t>208,5</w:t>
            </w:r>
          </w:p>
        </w:tc>
      </w:tr>
    </w:tbl>
    <w:p w14:paraId="0AB164E2" w14:textId="77777777" w:rsidR="00501C53" w:rsidRDefault="00501C53">
      <w:pPr>
        <w:spacing w:after="0"/>
      </w:pPr>
    </w:p>
    <w:p w14:paraId="0AB164E3" w14:textId="77777777" w:rsidR="00501C53" w:rsidRDefault="00000000">
      <w:r>
        <w:t>Na ovom računu ostvaren je značajno veći rashod nego u istom obračunskom razdoblju 2025.g. zbog toga što Centar Dubrava u povećanom opsegu objavljuje u NN natječaje za zapošljavanje.</w:t>
      </w:r>
    </w:p>
    <w:p w14:paraId="0AB164E4" w14:textId="77777777" w:rsidR="00501C53" w:rsidRDefault="00501C53"/>
    <w:p w14:paraId="0AB164E5" w14:textId="77777777" w:rsidR="00501C5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E6"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E7"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E8"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E9"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EA"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EB" w14:textId="77777777" w:rsidR="00501C53" w:rsidRDefault="00000000">
            <w:pPr>
              <w:keepNext/>
              <w:keepLines/>
              <w:spacing w:after="0" w:line="240" w:lineRule="auto"/>
              <w:jc w:val="center"/>
            </w:pPr>
            <w:r>
              <w:rPr>
                <w:b/>
                <w:sz w:val="18"/>
              </w:rPr>
              <w:t>Indeks (%)</w:t>
            </w:r>
          </w:p>
        </w:tc>
      </w:tr>
      <w:tr w:rsidR="00501C53" w14:paraId="0AB164F3" w14:textId="77777777">
        <w:tblPrEx>
          <w:tblCellMar>
            <w:top w:w="0" w:type="dxa"/>
            <w:bottom w:w="0" w:type="dxa"/>
          </w:tblCellMar>
        </w:tblPrEx>
        <w:trPr>
          <w:cantSplit/>
          <w:trHeight w:val="560"/>
        </w:trPr>
        <w:tc>
          <w:tcPr>
            <w:tcW w:w="700" w:type="dxa"/>
            <w:tcMar>
              <w:top w:w="0" w:type="dxa"/>
              <w:bottom w:w="0" w:type="dxa"/>
            </w:tcMar>
            <w:vAlign w:val="center"/>
          </w:tcPr>
          <w:p w14:paraId="0AB164ED" w14:textId="77777777" w:rsidR="00501C53" w:rsidRDefault="00000000">
            <w:pPr>
              <w:keepNext/>
              <w:keepLines/>
              <w:spacing w:after="0" w:line="240" w:lineRule="auto"/>
            </w:pPr>
            <w:r>
              <w:rPr>
                <w:sz w:val="18"/>
              </w:rPr>
              <w:t>3237</w:t>
            </w:r>
          </w:p>
        </w:tc>
        <w:tc>
          <w:tcPr>
            <w:tcW w:w="3180" w:type="dxa"/>
            <w:tcMar>
              <w:top w:w="0" w:type="dxa"/>
              <w:bottom w:w="0" w:type="dxa"/>
            </w:tcMar>
            <w:vAlign w:val="center"/>
          </w:tcPr>
          <w:p w14:paraId="0AB164EE" w14:textId="77777777" w:rsidR="00501C53"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AB164EF" w14:textId="77777777" w:rsidR="00501C53" w:rsidRDefault="00000000">
            <w:pPr>
              <w:keepNext/>
              <w:keepLines/>
              <w:spacing w:after="0" w:line="240" w:lineRule="auto"/>
            </w:pPr>
            <w:r>
              <w:rPr>
                <w:sz w:val="18"/>
              </w:rPr>
              <w:t>3237</w:t>
            </w:r>
          </w:p>
        </w:tc>
        <w:tc>
          <w:tcPr>
            <w:tcW w:w="1860" w:type="dxa"/>
            <w:tcMar>
              <w:top w:w="0" w:type="dxa"/>
              <w:bottom w:w="0" w:type="dxa"/>
            </w:tcMar>
            <w:vAlign w:val="center"/>
          </w:tcPr>
          <w:p w14:paraId="0AB164F0" w14:textId="77777777" w:rsidR="00501C53" w:rsidRDefault="00000000">
            <w:pPr>
              <w:keepNext/>
              <w:keepLines/>
              <w:spacing w:after="0" w:line="240" w:lineRule="auto"/>
              <w:jc w:val="right"/>
            </w:pPr>
            <w:r>
              <w:rPr>
                <w:sz w:val="18"/>
              </w:rPr>
              <w:t>4.702,50</w:t>
            </w:r>
          </w:p>
        </w:tc>
        <w:tc>
          <w:tcPr>
            <w:tcW w:w="1860" w:type="dxa"/>
            <w:tcMar>
              <w:top w:w="0" w:type="dxa"/>
              <w:bottom w:w="0" w:type="dxa"/>
            </w:tcMar>
            <w:vAlign w:val="center"/>
          </w:tcPr>
          <w:p w14:paraId="0AB164F1" w14:textId="77777777" w:rsidR="00501C53" w:rsidRDefault="00000000">
            <w:pPr>
              <w:keepNext/>
              <w:keepLines/>
              <w:spacing w:after="0" w:line="240" w:lineRule="auto"/>
              <w:jc w:val="right"/>
            </w:pPr>
            <w:r>
              <w:rPr>
                <w:sz w:val="18"/>
              </w:rPr>
              <w:t>11.759,25</w:t>
            </w:r>
          </w:p>
        </w:tc>
        <w:tc>
          <w:tcPr>
            <w:tcW w:w="700" w:type="dxa"/>
            <w:tcMar>
              <w:top w:w="0" w:type="dxa"/>
              <w:bottom w:w="0" w:type="dxa"/>
            </w:tcMar>
            <w:vAlign w:val="center"/>
          </w:tcPr>
          <w:p w14:paraId="0AB164F2" w14:textId="77777777" w:rsidR="00501C53" w:rsidRDefault="00000000">
            <w:pPr>
              <w:keepNext/>
              <w:keepLines/>
              <w:spacing w:after="0" w:line="240" w:lineRule="auto"/>
              <w:jc w:val="right"/>
            </w:pPr>
            <w:r>
              <w:rPr>
                <w:sz w:val="18"/>
              </w:rPr>
              <w:t>250,1</w:t>
            </w:r>
          </w:p>
        </w:tc>
      </w:tr>
    </w:tbl>
    <w:p w14:paraId="0AB164F4" w14:textId="77777777" w:rsidR="00501C53" w:rsidRDefault="00501C53">
      <w:pPr>
        <w:spacing w:after="0"/>
      </w:pPr>
    </w:p>
    <w:p w14:paraId="0AB164F5" w14:textId="77777777" w:rsidR="00501C53" w:rsidRDefault="00000000">
      <w:r>
        <w:t>Na ovom računu ostvaren je značajno veći rashod nego u istom obračunskom razdoblju 2025.g. zbog većeg angažmana odvjetnika u 2026.-oj godini.</w:t>
      </w:r>
    </w:p>
    <w:p w14:paraId="0AB164F6" w14:textId="77777777" w:rsidR="00501C53" w:rsidRDefault="00501C53"/>
    <w:p w14:paraId="0AB164F7" w14:textId="77777777" w:rsidR="00501C5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4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4F8"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4F9"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4FA"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4FB"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4FC"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4FD" w14:textId="77777777" w:rsidR="00501C53" w:rsidRDefault="00000000">
            <w:pPr>
              <w:keepNext/>
              <w:keepLines/>
              <w:spacing w:after="0" w:line="240" w:lineRule="auto"/>
              <w:jc w:val="center"/>
            </w:pPr>
            <w:r>
              <w:rPr>
                <w:b/>
                <w:sz w:val="18"/>
              </w:rPr>
              <w:t>Indeks (%)</w:t>
            </w:r>
          </w:p>
        </w:tc>
      </w:tr>
      <w:tr w:rsidR="00501C53" w14:paraId="0AB16505" w14:textId="77777777">
        <w:tblPrEx>
          <w:tblCellMar>
            <w:top w:w="0" w:type="dxa"/>
            <w:bottom w:w="0" w:type="dxa"/>
          </w:tblCellMar>
        </w:tblPrEx>
        <w:trPr>
          <w:cantSplit/>
          <w:trHeight w:val="560"/>
        </w:trPr>
        <w:tc>
          <w:tcPr>
            <w:tcW w:w="700" w:type="dxa"/>
            <w:tcMar>
              <w:top w:w="0" w:type="dxa"/>
              <w:bottom w:w="0" w:type="dxa"/>
            </w:tcMar>
            <w:vAlign w:val="center"/>
          </w:tcPr>
          <w:p w14:paraId="0AB164FF" w14:textId="77777777" w:rsidR="00501C53" w:rsidRDefault="00000000">
            <w:pPr>
              <w:keepNext/>
              <w:keepLines/>
              <w:spacing w:after="0" w:line="240" w:lineRule="auto"/>
            </w:pPr>
            <w:r>
              <w:rPr>
                <w:sz w:val="18"/>
              </w:rPr>
              <w:t>3295</w:t>
            </w:r>
          </w:p>
        </w:tc>
        <w:tc>
          <w:tcPr>
            <w:tcW w:w="3180" w:type="dxa"/>
            <w:tcMar>
              <w:top w:w="0" w:type="dxa"/>
              <w:bottom w:w="0" w:type="dxa"/>
            </w:tcMar>
            <w:vAlign w:val="center"/>
          </w:tcPr>
          <w:p w14:paraId="0AB16500" w14:textId="77777777" w:rsidR="00501C53" w:rsidRDefault="00000000">
            <w:pPr>
              <w:keepNext/>
              <w:keepLines/>
              <w:spacing w:after="0" w:line="240" w:lineRule="auto"/>
            </w:pPr>
            <w:r>
              <w:rPr>
                <w:sz w:val="18"/>
              </w:rPr>
              <w:t>Pristojbe i naknade</w:t>
            </w:r>
          </w:p>
        </w:tc>
        <w:tc>
          <w:tcPr>
            <w:tcW w:w="700" w:type="dxa"/>
            <w:tcMar>
              <w:top w:w="0" w:type="dxa"/>
              <w:bottom w:w="0" w:type="dxa"/>
            </w:tcMar>
            <w:vAlign w:val="center"/>
          </w:tcPr>
          <w:p w14:paraId="0AB16501" w14:textId="77777777" w:rsidR="00501C53" w:rsidRDefault="00000000">
            <w:pPr>
              <w:keepNext/>
              <w:keepLines/>
              <w:spacing w:after="0" w:line="240" w:lineRule="auto"/>
            </w:pPr>
            <w:r>
              <w:rPr>
                <w:sz w:val="18"/>
              </w:rPr>
              <w:t>3295</w:t>
            </w:r>
          </w:p>
        </w:tc>
        <w:tc>
          <w:tcPr>
            <w:tcW w:w="1860" w:type="dxa"/>
            <w:tcMar>
              <w:top w:w="0" w:type="dxa"/>
              <w:bottom w:w="0" w:type="dxa"/>
            </w:tcMar>
            <w:vAlign w:val="center"/>
          </w:tcPr>
          <w:p w14:paraId="0AB16502" w14:textId="77777777" w:rsidR="00501C53" w:rsidRDefault="00000000">
            <w:pPr>
              <w:keepNext/>
              <w:keepLines/>
              <w:spacing w:after="0" w:line="240" w:lineRule="auto"/>
              <w:jc w:val="right"/>
            </w:pPr>
            <w:r>
              <w:rPr>
                <w:sz w:val="18"/>
              </w:rPr>
              <w:t>660,87</w:t>
            </w:r>
          </w:p>
        </w:tc>
        <w:tc>
          <w:tcPr>
            <w:tcW w:w="1860" w:type="dxa"/>
            <w:tcMar>
              <w:top w:w="0" w:type="dxa"/>
              <w:bottom w:w="0" w:type="dxa"/>
            </w:tcMar>
            <w:vAlign w:val="center"/>
          </w:tcPr>
          <w:p w14:paraId="0AB16503" w14:textId="77777777" w:rsidR="00501C53" w:rsidRDefault="00000000">
            <w:pPr>
              <w:keepNext/>
              <w:keepLines/>
              <w:spacing w:after="0" w:line="240" w:lineRule="auto"/>
              <w:jc w:val="right"/>
            </w:pPr>
            <w:r>
              <w:rPr>
                <w:sz w:val="18"/>
              </w:rPr>
              <w:t>1.375,49</w:t>
            </w:r>
          </w:p>
        </w:tc>
        <w:tc>
          <w:tcPr>
            <w:tcW w:w="700" w:type="dxa"/>
            <w:tcMar>
              <w:top w:w="0" w:type="dxa"/>
              <w:bottom w:w="0" w:type="dxa"/>
            </w:tcMar>
            <w:vAlign w:val="center"/>
          </w:tcPr>
          <w:p w14:paraId="0AB16504" w14:textId="77777777" w:rsidR="00501C53" w:rsidRDefault="00000000">
            <w:pPr>
              <w:keepNext/>
              <w:keepLines/>
              <w:spacing w:after="0" w:line="240" w:lineRule="auto"/>
              <w:jc w:val="right"/>
            </w:pPr>
            <w:r>
              <w:rPr>
                <w:sz w:val="18"/>
              </w:rPr>
              <w:t>208,1</w:t>
            </w:r>
          </w:p>
        </w:tc>
      </w:tr>
    </w:tbl>
    <w:p w14:paraId="0AB16506" w14:textId="77777777" w:rsidR="00501C53" w:rsidRDefault="00501C53">
      <w:pPr>
        <w:spacing w:after="0"/>
      </w:pPr>
    </w:p>
    <w:p w14:paraId="0AB16507" w14:textId="77777777" w:rsidR="00501C53" w:rsidRDefault="00000000">
      <w:r>
        <w:t>Na ovom računu ostvaren je značajno veći rashod nego u istom obračunskom razdoblju 2025.g. radi povećane naknade zbog nezapošljavanja određene kvote osoba s invaliditetom.</w:t>
      </w:r>
    </w:p>
    <w:p w14:paraId="0AB16508" w14:textId="77777777" w:rsidR="00501C53" w:rsidRDefault="00501C53"/>
    <w:p w14:paraId="0AB16509" w14:textId="77777777" w:rsidR="00501C5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01C53" w14:paraId="0AB165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50A"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50B"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50C"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50D" w14:textId="77777777" w:rsidR="00501C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650E" w14:textId="77777777" w:rsidR="00501C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650F" w14:textId="77777777" w:rsidR="00501C53" w:rsidRDefault="00000000">
            <w:pPr>
              <w:keepNext/>
              <w:keepLines/>
              <w:spacing w:after="0" w:line="240" w:lineRule="auto"/>
              <w:jc w:val="center"/>
            </w:pPr>
            <w:r>
              <w:rPr>
                <w:b/>
                <w:sz w:val="18"/>
              </w:rPr>
              <w:t>Indeks (%)</w:t>
            </w:r>
          </w:p>
        </w:tc>
      </w:tr>
      <w:tr w:rsidR="00501C53" w14:paraId="0AB16517" w14:textId="77777777">
        <w:tblPrEx>
          <w:tblCellMar>
            <w:top w:w="0" w:type="dxa"/>
            <w:bottom w:w="0" w:type="dxa"/>
          </w:tblCellMar>
        </w:tblPrEx>
        <w:trPr>
          <w:cantSplit/>
          <w:trHeight w:val="560"/>
        </w:trPr>
        <w:tc>
          <w:tcPr>
            <w:tcW w:w="700" w:type="dxa"/>
            <w:tcMar>
              <w:top w:w="0" w:type="dxa"/>
              <w:bottom w:w="0" w:type="dxa"/>
            </w:tcMar>
            <w:vAlign w:val="center"/>
          </w:tcPr>
          <w:p w14:paraId="0AB16511" w14:textId="77777777" w:rsidR="00501C53" w:rsidRDefault="00000000">
            <w:pPr>
              <w:keepNext/>
              <w:keepLines/>
              <w:spacing w:after="0" w:line="240" w:lineRule="auto"/>
            </w:pPr>
            <w:r>
              <w:rPr>
                <w:sz w:val="18"/>
              </w:rPr>
              <w:t>372</w:t>
            </w:r>
          </w:p>
        </w:tc>
        <w:tc>
          <w:tcPr>
            <w:tcW w:w="3180" w:type="dxa"/>
            <w:tcMar>
              <w:top w:w="0" w:type="dxa"/>
              <w:bottom w:w="0" w:type="dxa"/>
            </w:tcMar>
            <w:vAlign w:val="center"/>
          </w:tcPr>
          <w:p w14:paraId="0AB16512" w14:textId="77777777" w:rsidR="00501C53"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0AB16513" w14:textId="77777777" w:rsidR="00501C53" w:rsidRDefault="00000000">
            <w:pPr>
              <w:keepNext/>
              <w:keepLines/>
              <w:spacing w:after="0" w:line="240" w:lineRule="auto"/>
            </w:pPr>
            <w:r>
              <w:rPr>
                <w:sz w:val="18"/>
              </w:rPr>
              <w:t>372</w:t>
            </w:r>
          </w:p>
        </w:tc>
        <w:tc>
          <w:tcPr>
            <w:tcW w:w="1860" w:type="dxa"/>
            <w:tcMar>
              <w:top w:w="0" w:type="dxa"/>
              <w:bottom w:w="0" w:type="dxa"/>
            </w:tcMar>
            <w:vAlign w:val="center"/>
          </w:tcPr>
          <w:p w14:paraId="0AB16514" w14:textId="77777777" w:rsidR="00501C53" w:rsidRDefault="00000000">
            <w:pPr>
              <w:keepNext/>
              <w:keepLines/>
              <w:spacing w:after="0" w:line="240" w:lineRule="auto"/>
              <w:jc w:val="right"/>
            </w:pPr>
            <w:r>
              <w:rPr>
                <w:sz w:val="18"/>
              </w:rPr>
              <w:t>30.691,86</w:t>
            </w:r>
          </w:p>
        </w:tc>
        <w:tc>
          <w:tcPr>
            <w:tcW w:w="1860" w:type="dxa"/>
            <w:tcMar>
              <w:top w:w="0" w:type="dxa"/>
              <w:bottom w:w="0" w:type="dxa"/>
            </w:tcMar>
            <w:vAlign w:val="center"/>
          </w:tcPr>
          <w:p w14:paraId="0AB16515" w14:textId="77777777" w:rsidR="00501C53" w:rsidRDefault="00000000">
            <w:pPr>
              <w:keepNext/>
              <w:keepLines/>
              <w:spacing w:after="0" w:line="240" w:lineRule="auto"/>
              <w:jc w:val="right"/>
            </w:pPr>
            <w:r>
              <w:rPr>
                <w:sz w:val="18"/>
              </w:rPr>
              <w:t>50.863,23</w:t>
            </w:r>
          </w:p>
        </w:tc>
        <w:tc>
          <w:tcPr>
            <w:tcW w:w="700" w:type="dxa"/>
            <w:tcMar>
              <w:top w:w="0" w:type="dxa"/>
              <w:bottom w:w="0" w:type="dxa"/>
            </w:tcMar>
            <w:vAlign w:val="center"/>
          </w:tcPr>
          <w:p w14:paraId="0AB16516" w14:textId="77777777" w:rsidR="00501C53" w:rsidRDefault="00000000">
            <w:pPr>
              <w:keepNext/>
              <w:keepLines/>
              <w:spacing w:after="0" w:line="240" w:lineRule="auto"/>
              <w:jc w:val="right"/>
            </w:pPr>
            <w:r>
              <w:rPr>
                <w:sz w:val="18"/>
              </w:rPr>
              <w:t>165,7</w:t>
            </w:r>
          </w:p>
        </w:tc>
      </w:tr>
    </w:tbl>
    <w:p w14:paraId="0AB16518" w14:textId="77777777" w:rsidR="00501C53" w:rsidRDefault="00501C53">
      <w:pPr>
        <w:spacing w:after="0"/>
      </w:pPr>
    </w:p>
    <w:p w14:paraId="0AB16519" w14:textId="5FE581C5" w:rsidR="00501C53" w:rsidRDefault="00000000">
      <w:r>
        <w:t>Na ovom računu ostvaren je značajno veći rashod nego u istom obračunskom razdoblju 2025.g. zbog toga što je 2025.g. sa zakašnjenjem stigla uplata za naknadu za prijevoz učenika pa je stoga kasnila i isplata n</w:t>
      </w:r>
      <w:r w:rsidR="009D5722">
        <w:t>a</w:t>
      </w:r>
      <w:r>
        <w:t xml:space="preserve"> temelju koje se knjiži rashod.</w:t>
      </w:r>
    </w:p>
    <w:p w14:paraId="0AB1651A" w14:textId="77777777" w:rsidR="00501C53" w:rsidRDefault="00501C53"/>
    <w:p w14:paraId="0AB1651B" w14:textId="77777777" w:rsidR="00501C53" w:rsidRDefault="00000000">
      <w:pPr>
        <w:keepNext/>
        <w:spacing w:line="240" w:lineRule="auto"/>
        <w:jc w:val="center"/>
      </w:pPr>
      <w:r>
        <w:rPr>
          <w:b/>
          <w:sz w:val="28"/>
        </w:rPr>
        <w:lastRenderedPageBreak/>
        <w:t>Izvještaj o obvezama</w:t>
      </w:r>
    </w:p>
    <w:p w14:paraId="0AB1651C" w14:textId="77777777" w:rsidR="00501C5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01C53" w14:paraId="0AB165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651D" w14:textId="77777777" w:rsidR="00501C53"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651E" w14:textId="77777777" w:rsidR="00501C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1651F" w14:textId="77777777" w:rsidR="00501C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16520" w14:textId="77777777" w:rsidR="00501C5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B16521" w14:textId="77777777" w:rsidR="00501C53" w:rsidRDefault="00000000">
            <w:pPr>
              <w:keepNext/>
              <w:keepLines/>
              <w:spacing w:after="0" w:line="240" w:lineRule="auto"/>
              <w:jc w:val="center"/>
            </w:pPr>
            <w:r>
              <w:rPr>
                <w:b/>
                <w:sz w:val="18"/>
              </w:rPr>
              <w:t>Indeks (%)</w:t>
            </w:r>
          </w:p>
        </w:tc>
      </w:tr>
      <w:tr w:rsidR="00501C53" w14:paraId="0AB16528" w14:textId="77777777">
        <w:tblPrEx>
          <w:tblCellMar>
            <w:top w:w="0" w:type="dxa"/>
            <w:bottom w:w="0" w:type="dxa"/>
          </w:tblCellMar>
        </w:tblPrEx>
        <w:trPr>
          <w:cantSplit/>
          <w:trHeight w:val="560"/>
        </w:trPr>
        <w:tc>
          <w:tcPr>
            <w:tcW w:w="700" w:type="dxa"/>
            <w:tcMar>
              <w:top w:w="0" w:type="dxa"/>
              <w:bottom w:w="0" w:type="dxa"/>
            </w:tcMar>
            <w:vAlign w:val="center"/>
          </w:tcPr>
          <w:p w14:paraId="0AB16523" w14:textId="77777777" w:rsidR="00501C53" w:rsidRDefault="00501C53">
            <w:pPr>
              <w:keepNext/>
              <w:keepLines/>
              <w:spacing w:after="0" w:line="240" w:lineRule="auto"/>
            </w:pPr>
          </w:p>
        </w:tc>
        <w:tc>
          <w:tcPr>
            <w:tcW w:w="3180" w:type="dxa"/>
            <w:tcMar>
              <w:top w:w="0" w:type="dxa"/>
              <w:bottom w:w="0" w:type="dxa"/>
            </w:tcMar>
            <w:vAlign w:val="center"/>
          </w:tcPr>
          <w:p w14:paraId="0AB16524" w14:textId="77777777" w:rsidR="00501C5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AB16525" w14:textId="77777777" w:rsidR="00501C53" w:rsidRDefault="00000000">
            <w:pPr>
              <w:keepNext/>
              <w:keepLines/>
              <w:spacing w:after="0" w:line="240" w:lineRule="auto"/>
            </w:pPr>
            <w:r>
              <w:rPr>
                <w:sz w:val="18"/>
              </w:rPr>
              <w:t>V007</w:t>
            </w:r>
          </w:p>
        </w:tc>
        <w:tc>
          <w:tcPr>
            <w:tcW w:w="1860" w:type="dxa"/>
            <w:tcMar>
              <w:top w:w="0" w:type="dxa"/>
              <w:bottom w:w="0" w:type="dxa"/>
            </w:tcMar>
            <w:vAlign w:val="center"/>
          </w:tcPr>
          <w:p w14:paraId="0AB16526" w14:textId="77777777" w:rsidR="00501C53" w:rsidRDefault="00000000">
            <w:pPr>
              <w:keepNext/>
              <w:keepLines/>
              <w:spacing w:after="0" w:line="240" w:lineRule="auto"/>
              <w:jc w:val="right"/>
            </w:pPr>
            <w:r>
              <w:rPr>
                <w:sz w:val="18"/>
              </w:rPr>
              <w:t>0,00</w:t>
            </w:r>
          </w:p>
        </w:tc>
        <w:tc>
          <w:tcPr>
            <w:tcW w:w="700" w:type="dxa"/>
            <w:tcMar>
              <w:top w:w="0" w:type="dxa"/>
              <w:bottom w:w="0" w:type="dxa"/>
            </w:tcMar>
            <w:vAlign w:val="center"/>
          </w:tcPr>
          <w:p w14:paraId="0AB16527" w14:textId="77777777" w:rsidR="00501C53" w:rsidRDefault="00000000">
            <w:pPr>
              <w:keepNext/>
              <w:keepLines/>
              <w:spacing w:after="0" w:line="240" w:lineRule="auto"/>
              <w:jc w:val="right"/>
            </w:pPr>
            <w:r>
              <w:rPr>
                <w:sz w:val="18"/>
              </w:rPr>
              <w:t>-</w:t>
            </w:r>
          </w:p>
        </w:tc>
      </w:tr>
    </w:tbl>
    <w:p w14:paraId="0AB16529" w14:textId="77777777" w:rsidR="00501C53" w:rsidRDefault="00501C53">
      <w:pPr>
        <w:spacing w:after="0"/>
      </w:pPr>
    </w:p>
    <w:p w14:paraId="0AB1652A" w14:textId="77777777" w:rsidR="00501C53" w:rsidRDefault="00000000">
      <w:r>
        <w:t>Centar za odgoj i obrazovanje Dubrava nema dospjelih, a nepodmiranih obveza.</w:t>
      </w:r>
    </w:p>
    <w:p w14:paraId="0AB1652B" w14:textId="77777777" w:rsidR="00501C53" w:rsidRDefault="00501C53"/>
    <w:sectPr w:rsidR="00501C53" w:rsidSect="00FC07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01C53"/>
    <w:rsid w:val="000E72C9"/>
    <w:rsid w:val="00501C53"/>
    <w:rsid w:val="00875D28"/>
    <w:rsid w:val="009D5722"/>
    <w:rsid w:val="00BB6DC4"/>
    <w:rsid w:val="00DE26C0"/>
    <w:rsid w:val="00FC07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63E2"/>
  <w15:docId w15:val="{C0147E11-78FE-4B2E-AE4D-A4C8FD25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1173</Words>
  <Characters>6851</Characters>
  <Application>Microsoft Office Word</Application>
  <DocSecurity>0</DocSecurity>
  <Lines>456</Lines>
  <Paragraphs>297</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Zrilić</cp:lastModifiedBy>
  <cp:revision>6</cp:revision>
  <dcterms:created xsi:type="dcterms:W3CDTF">2026-04-15T09:42:00Z</dcterms:created>
  <dcterms:modified xsi:type="dcterms:W3CDTF">2026-04-15T09:46:00Z</dcterms:modified>
</cp:coreProperties>
</file>